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14E00" w14:textId="4ADAC9CD" w:rsidR="00A96D09" w:rsidRPr="00D01131" w:rsidRDefault="0034314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b/>
          <w:sz w:val="24"/>
          <w:szCs w:val="24"/>
        </w:rPr>
      </w:pPr>
      <w:r w:rsidRPr="00D01131">
        <w:rPr>
          <w:b/>
          <w:sz w:val="24"/>
          <w:szCs w:val="24"/>
        </w:rPr>
        <w:t xml:space="preserve">CHAMAMENTO PÚBLICO </w:t>
      </w:r>
      <w:r w:rsidR="00D01131" w:rsidRPr="00D01131">
        <w:rPr>
          <w:b/>
          <w:sz w:val="24"/>
          <w:szCs w:val="24"/>
        </w:rPr>
        <w:t>003/2026</w:t>
      </w:r>
    </w:p>
    <w:p w14:paraId="677A0D12" w14:textId="495A6160" w:rsidR="00A96D09" w:rsidRPr="00D01131" w:rsidRDefault="0034314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b/>
          <w:sz w:val="24"/>
          <w:szCs w:val="24"/>
        </w:rPr>
      </w:pPr>
      <w:r w:rsidRPr="00D01131">
        <w:rPr>
          <w:b/>
          <w:sz w:val="24"/>
          <w:szCs w:val="24"/>
        </w:rPr>
        <w:t xml:space="preserve">REDE </w:t>
      </w:r>
      <w:r w:rsidRPr="00D01131">
        <w:rPr>
          <w:b/>
          <w:sz w:val="24"/>
          <w:szCs w:val="24"/>
        </w:rPr>
        <w:t>MUNICIPAL</w:t>
      </w:r>
    </w:p>
    <w:p w14:paraId="505458C9" w14:textId="7B6AC745" w:rsidR="00A96D09" w:rsidRPr="00D01131" w:rsidRDefault="0034314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b/>
          <w:sz w:val="24"/>
          <w:szCs w:val="24"/>
        </w:rPr>
      </w:pPr>
      <w:r w:rsidRPr="00D01131">
        <w:rPr>
          <w:b/>
          <w:sz w:val="24"/>
          <w:szCs w:val="24"/>
        </w:rPr>
        <w:t xml:space="preserve">DE PONTOS DE CULTURA DE </w:t>
      </w:r>
      <w:r w:rsidR="00D01131" w:rsidRPr="00D01131">
        <w:rPr>
          <w:b/>
          <w:sz w:val="24"/>
          <w:szCs w:val="24"/>
        </w:rPr>
        <w:t>ALENQUER-PARÁ</w:t>
      </w:r>
      <w:r w:rsidRPr="00D01131">
        <w:rPr>
          <w:b/>
          <w:sz w:val="24"/>
          <w:szCs w:val="24"/>
        </w:rPr>
        <w:t xml:space="preserve"> </w:t>
      </w:r>
    </w:p>
    <w:p w14:paraId="4EDEEA6A" w14:textId="77777777" w:rsidR="00A96D09" w:rsidRDefault="0034314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8D3C4B7" w14:textId="77777777" w:rsidR="00A96D09" w:rsidRDefault="0034314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CULTURA VIVA DO TAMANHO DO BRASIL!</w:t>
      </w:r>
    </w:p>
    <w:p w14:paraId="4F2E8303" w14:textId="77777777" w:rsidR="00A96D09" w:rsidRDefault="0034314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FOMENTO A PROJETOS CONTINUADOS DE PONTOS DE CULTURA</w:t>
      </w:r>
    </w:p>
    <w:p w14:paraId="4664DE76" w14:textId="77777777" w:rsidR="00A96D09" w:rsidRDefault="00A96D09">
      <w:pPr>
        <w:shd w:val="clear" w:color="auto" w:fill="FFFFFF"/>
        <w:spacing w:after="0" w:line="240" w:lineRule="auto"/>
        <w:ind w:left="0" w:hanging="2"/>
        <w:jc w:val="center"/>
        <w:rPr>
          <w:sz w:val="24"/>
          <w:szCs w:val="24"/>
        </w:rPr>
      </w:pPr>
    </w:p>
    <w:p w14:paraId="26B71C93" w14:textId="77777777" w:rsidR="00A96D09" w:rsidRDefault="0034314A">
      <w:pPr>
        <w:tabs>
          <w:tab w:val="center" w:pos="0"/>
        </w:tabs>
        <w:spacing w:before="120" w:after="120" w:line="240" w:lineRule="auto"/>
        <w:ind w:left="0" w:hanging="2"/>
        <w:jc w:val="center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ANEXO 10 - MINUTA DE TERMO DE COMPROMISSO CULTURAL - PONTO DE CULTURA </w:t>
      </w:r>
    </w:p>
    <w:p w14:paraId="59D006B9" w14:textId="77777777" w:rsidR="00A96D09" w:rsidRDefault="0034314A">
      <w:pPr>
        <w:keepNext/>
        <w:spacing w:after="0" w:line="240" w:lineRule="auto"/>
        <w:ind w:left="0" w:hanging="2"/>
        <w:jc w:val="center"/>
        <w:rPr>
          <w:sz w:val="20"/>
          <w:szCs w:val="20"/>
        </w:rPr>
      </w:pPr>
      <w:r>
        <w:rPr>
          <w:i/>
          <w:color w:val="FF0000"/>
          <w:sz w:val="20"/>
          <w:szCs w:val="20"/>
        </w:rPr>
        <w:t>(Rubricar todas as páginas)</w:t>
      </w:r>
    </w:p>
    <w:p w14:paraId="1C9EC073" w14:textId="77777777" w:rsidR="00A96D09" w:rsidRDefault="00A96D09">
      <w:pPr>
        <w:spacing w:before="120" w:after="120" w:line="240" w:lineRule="auto"/>
        <w:ind w:left="0" w:hanging="2"/>
        <w:jc w:val="both"/>
        <w:rPr>
          <w:sz w:val="24"/>
          <w:szCs w:val="24"/>
        </w:rPr>
      </w:pPr>
    </w:p>
    <w:p w14:paraId="1149BC12" w14:textId="77777777" w:rsidR="00A96D09" w:rsidRDefault="0034314A">
      <w:pPr>
        <w:spacing w:before="120" w:after="120" w:line="240" w:lineRule="auto"/>
        <w:ind w:left="0" w:hanging="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TERMO DE COMPROMISSO CULTURAL Nº </w:t>
      </w:r>
      <w:r>
        <w:rPr>
          <w:b/>
          <w:color w:val="FF0000"/>
          <w:sz w:val="24"/>
          <w:szCs w:val="24"/>
        </w:rPr>
        <w:t>XX/202</w:t>
      </w:r>
      <w:r>
        <w:rPr>
          <w:b/>
          <w:color w:val="FF0000"/>
          <w:sz w:val="24"/>
          <w:szCs w:val="24"/>
        </w:rPr>
        <w:t>5</w:t>
      </w:r>
    </w:p>
    <w:tbl>
      <w:tblPr>
        <w:tblStyle w:val="affc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A96D09" w14:paraId="7E99DF35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C0AC2B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  <w:shd w:val="clear" w:color="auto" w:fill="B7B7B7"/>
              </w:rPr>
            </w:pPr>
            <w:r>
              <w:rPr>
                <w:b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b/>
                <w:sz w:val="24"/>
                <w:szCs w:val="24"/>
              </w:rPr>
              <w:t>FINALIDADE</w:t>
            </w:r>
          </w:p>
        </w:tc>
      </w:tr>
      <w:tr w:rsidR="00A96D09" w14:paraId="710F65EF" w14:textId="77777777">
        <w:trPr>
          <w:trHeight w:val="1635"/>
        </w:trPr>
        <w:tc>
          <w:tcPr>
            <w:tcW w:w="99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15028A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 </w:t>
            </w:r>
            <w:r>
              <w:rPr>
                <w:color w:val="FF0000"/>
                <w:sz w:val="24"/>
                <w:szCs w:val="24"/>
              </w:rPr>
              <w:t xml:space="preserve">[NOME DO MUNICÍPIO/ESTADO], </w:t>
            </w:r>
            <w:r>
              <w:rPr>
                <w:sz w:val="24"/>
                <w:szCs w:val="24"/>
              </w:rPr>
              <w:t>representado por</w:t>
            </w:r>
            <w:r>
              <w:rPr>
                <w:color w:val="FF0000"/>
                <w:sz w:val="24"/>
                <w:szCs w:val="24"/>
              </w:rPr>
              <w:t xml:space="preserve"> [NOME DO ÓRGÃO]</w:t>
            </w:r>
            <w:r>
              <w:rPr>
                <w:sz w:val="24"/>
                <w:szCs w:val="24"/>
              </w:rPr>
              <w:t xml:space="preserve">, e a ENTIDADE CULTURAL celebram o presente TERMO DE COMPROMISSO CULTURAL - TCC, com a finalidade de executar Projeto Cultural, nos termos do Plano de Trabalho anexo, para implementação da Política Nacional de Cultura Viva – PNCV, mediante as condições estipuladas em suas Cláusulas, nos termos da </w:t>
            </w:r>
            <w:hyperlink r:id="rId7">
              <w:r>
                <w:rPr>
                  <w:sz w:val="24"/>
                  <w:szCs w:val="24"/>
                  <w:u w:val="single"/>
                </w:rPr>
                <w:t>Lei nº 14.399/2022</w:t>
              </w:r>
            </w:hyperlink>
            <w:r>
              <w:rPr>
                <w:sz w:val="24"/>
                <w:szCs w:val="24"/>
              </w:rPr>
              <w:t xml:space="preserve"> (Política Nacional Aldir Blanc), no</w:t>
            </w:r>
            <w:hyperlink r:id="rId8">
              <w:r>
                <w:rPr>
                  <w:sz w:val="24"/>
                  <w:szCs w:val="24"/>
                </w:rPr>
                <w:t xml:space="preserve"> </w:t>
              </w:r>
            </w:hyperlink>
            <w:hyperlink r:id="rId9">
              <w:r>
                <w:rPr>
                  <w:sz w:val="24"/>
                  <w:szCs w:val="24"/>
                  <w:u w:val="single"/>
                </w:rPr>
                <w:t>Decreto nº 11.740/2023</w:t>
              </w:r>
            </w:hyperlink>
            <w:r>
              <w:rPr>
                <w:sz w:val="24"/>
                <w:szCs w:val="24"/>
              </w:rPr>
              <w:t xml:space="preserve">, </w:t>
            </w:r>
            <w:hyperlink r:id="rId10">
              <w:r>
                <w:rPr>
                  <w:sz w:val="24"/>
                  <w:szCs w:val="24"/>
                  <w:u w:val="single"/>
                </w:rPr>
                <w:t>Portaria MinC nº 200/2025</w:t>
              </w:r>
            </w:hyperlink>
            <w:hyperlink r:id="rId11">
              <w:r>
                <w:rPr>
                  <w:sz w:val="24"/>
                  <w:szCs w:val="24"/>
                </w:rPr>
                <w:t xml:space="preserve">, </w:t>
              </w:r>
            </w:hyperlink>
            <w:hyperlink r:id="rId12">
              <w:r>
                <w:rPr>
                  <w:sz w:val="24"/>
                  <w:szCs w:val="24"/>
                  <w:u w:val="single"/>
                </w:rPr>
                <w:t>Portaria MinC nº 206/2025</w:t>
              </w:r>
            </w:hyperlink>
            <w:hyperlink r:id="rId13">
              <w:r>
                <w:rPr>
                  <w:sz w:val="24"/>
                  <w:szCs w:val="24"/>
                </w:rPr>
                <w:t xml:space="preserve"> </w:t>
              </w:r>
            </w:hyperlink>
            <w:r>
              <w:rPr>
                <w:sz w:val="24"/>
                <w:szCs w:val="24"/>
              </w:rPr>
              <w:t>(Regulamentam a PNAB), na</w:t>
            </w:r>
            <w:hyperlink r:id="rId14">
              <w:r>
                <w:rPr>
                  <w:sz w:val="24"/>
                  <w:szCs w:val="24"/>
                </w:rPr>
                <w:t xml:space="preserve"> </w:t>
              </w:r>
            </w:hyperlink>
            <w:hyperlink r:id="rId15">
              <w:r>
                <w:rPr>
                  <w:sz w:val="24"/>
                  <w:szCs w:val="24"/>
                  <w:u w:val="single"/>
                </w:rPr>
                <w:t>Lei nº 13.018/2014</w:t>
              </w:r>
            </w:hyperlink>
            <w:r>
              <w:rPr>
                <w:sz w:val="24"/>
                <w:szCs w:val="24"/>
              </w:rPr>
              <w:t xml:space="preserve"> (Política Nacional de Cultura Viva), na</w:t>
            </w:r>
            <w:hyperlink r:id="rId16">
              <w:r>
                <w:rPr>
                  <w:sz w:val="24"/>
                  <w:szCs w:val="24"/>
                </w:rPr>
                <w:t xml:space="preserve"> </w:t>
              </w:r>
            </w:hyperlink>
            <w:hyperlink r:id="rId17">
              <w:r>
                <w:rPr>
                  <w:sz w:val="24"/>
                  <w:szCs w:val="24"/>
                  <w:u w:val="single"/>
                </w:rPr>
                <w:t>Instrução Normativa MinC nº 1/2015</w:t>
              </w:r>
            </w:hyperlink>
            <w:r>
              <w:rPr>
                <w:sz w:val="24"/>
                <w:szCs w:val="24"/>
              </w:rPr>
              <w:t>, e na</w:t>
            </w:r>
            <w:hyperlink r:id="rId18">
              <w:r>
                <w:rPr>
                  <w:sz w:val="24"/>
                  <w:szCs w:val="24"/>
                </w:rPr>
                <w:t xml:space="preserve"> </w:t>
              </w:r>
            </w:hyperlink>
            <w:hyperlink r:id="rId19">
              <w:r>
                <w:rPr>
                  <w:sz w:val="24"/>
                  <w:szCs w:val="24"/>
                  <w:u w:val="single"/>
                </w:rPr>
                <w:t>Instrução Normativa MINC nº 12/2024</w:t>
              </w:r>
            </w:hyperlink>
            <w:r>
              <w:rPr>
                <w:sz w:val="24"/>
                <w:szCs w:val="24"/>
              </w:rPr>
              <w:t>, ou em ato normativo correspondente em vigor (Regulamentam a PNCV),  aplicando-se também, no que couber, como complementação em situações não previstas na  Política Nacional de Cultura Viva, o</w:t>
            </w:r>
            <w:hyperlink r:id="rId20">
              <w:r>
                <w:rPr>
                  <w:sz w:val="24"/>
                  <w:szCs w:val="24"/>
                </w:rPr>
                <w:t xml:space="preserve"> </w:t>
              </w:r>
            </w:hyperlink>
            <w:hyperlink r:id="rId21">
              <w:r>
                <w:rPr>
                  <w:sz w:val="24"/>
                  <w:szCs w:val="24"/>
                  <w:u w:val="single"/>
                </w:rPr>
                <w:t>Decreto nº 11.453/2023</w:t>
              </w:r>
            </w:hyperlink>
            <w:r>
              <w:rPr>
                <w:sz w:val="24"/>
                <w:szCs w:val="24"/>
              </w:rPr>
              <w:t xml:space="preserve"> (Decreto de Fomento) e o </w:t>
            </w:r>
            <w:hyperlink r:id="rId22">
              <w:r>
                <w:rPr>
                  <w:sz w:val="24"/>
                  <w:szCs w:val="24"/>
                  <w:u w:val="single"/>
                </w:rPr>
                <w:t>Marco Regulatório do Fomento à Cultura nº 14.903/2024</w:t>
              </w:r>
            </w:hyperlink>
            <w:r>
              <w:rPr>
                <w:sz w:val="24"/>
                <w:szCs w:val="24"/>
              </w:rPr>
              <w:t>.</w:t>
            </w:r>
          </w:p>
        </w:tc>
      </w:tr>
    </w:tbl>
    <w:p w14:paraId="76C68120" w14:textId="77777777" w:rsidR="00A96D09" w:rsidRDefault="00A96D09">
      <w:pPr>
        <w:spacing w:before="120" w:after="120" w:line="240" w:lineRule="auto"/>
        <w:ind w:left="0" w:hanging="2"/>
        <w:jc w:val="both"/>
        <w:rPr>
          <w:sz w:val="24"/>
          <w:szCs w:val="24"/>
        </w:rPr>
      </w:pPr>
    </w:p>
    <w:tbl>
      <w:tblPr>
        <w:tblStyle w:val="affd"/>
        <w:tblW w:w="99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10"/>
        <w:gridCol w:w="2070"/>
        <w:gridCol w:w="1500"/>
        <w:gridCol w:w="3480"/>
      </w:tblGrid>
      <w:tr w:rsidR="00A96D09" w14:paraId="209EB8A1" w14:textId="77777777">
        <w:trPr>
          <w:trHeight w:val="525"/>
        </w:trPr>
        <w:tc>
          <w:tcPr>
            <w:tcW w:w="9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5499D8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b/>
                <w:sz w:val="24"/>
                <w:szCs w:val="24"/>
              </w:rPr>
              <w:t>IDENTIFICAÇÃO DAS PARTES</w:t>
            </w:r>
          </w:p>
        </w:tc>
      </w:tr>
      <w:tr w:rsidR="00A96D09" w14:paraId="051DE915" w14:textId="77777777">
        <w:trPr>
          <w:trHeight w:val="525"/>
        </w:trPr>
        <w:tc>
          <w:tcPr>
            <w:tcW w:w="9960" w:type="dxa"/>
            <w:gridSpan w:val="4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1DC512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2.1. ENTE PÚBLICO</w:t>
            </w:r>
          </w:p>
        </w:tc>
      </w:tr>
      <w:tr w:rsidR="00A96D09" w14:paraId="4DD11A54" w14:textId="77777777">
        <w:trPr>
          <w:trHeight w:val="525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837E2D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Razão Social: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8C835A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3B97E8F7" w14:textId="77777777" w:rsidR="00A96D09" w:rsidRDefault="00A96D09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</w:p>
        </w:tc>
      </w:tr>
      <w:tr w:rsidR="00A96D09" w14:paraId="213C090A" w14:textId="77777777">
        <w:trPr>
          <w:trHeight w:val="525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EBF71C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CNPJ: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73CAE9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96D09" w14:paraId="7277BC55" w14:textId="77777777">
        <w:trPr>
          <w:trHeight w:val="525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3878C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Endereço completo: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E3C134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96D09" w14:paraId="258E4D79" w14:textId="77777777">
        <w:trPr>
          <w:trHeight w:val="525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80FDEA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 do responsável legal: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99EFB8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96D09" w14:paraId="43CBD754" w14:textId="77777777">
        <w:trPr>
          <w:trHeight w:val="525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3ED673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Cargo: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B5DC29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96D09" w14:paraId="46657837" w14:textId="77777777">
        <w:trPr>
          <w:trHeight w:val="525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108176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Registro Geral (RG):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4384CD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4A8CE7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CPF: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0C715B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96D09" w14:paraId="701CAD3D" w14:textId="77777777">
        <w:trPr>
          <w:trHeight w:val="525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C1ACBF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Ato de nomeação: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0D0243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96D09" w14:paraId="7CAFD916" w14:textId="77777777">
        <w:trPr>
          <w:trHeight w:val="525"/>
        </w:trPr>
        <w:tc>
          <w:tcPr>
            <w:tcW w:w="9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2EE264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2.2. ENTIDADE CULTURAL</w:t>
            </w:r>
          </w:p>
        </w:tc>
      </w:tr>
      <w:tr w:rsidR="00A96D09" w14:paraId="3B827079" w14:textId="77777777">
        <w:trPr>
          <w:trHeight w:val="540"/>
        </w:trPr>
        <w:tc>
          <w:tcPr>
            <w:tcW w:w="291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281B21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Razão Social:</w:t>
            </w:r>
          </w:p>
        </w:tc>
        <w:tc>
          <w:tcPr>
            <w:tcW w:w="7050" w:type="dxa"/>
            <w:gridSpan w:val="3"/>
            <w:tcBorders>
              <w:top w:val="single" w:sz="4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A57775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38E4C5BB" w14:textId="77777777" w:rsidR="00A96D09" w:rsidRDefault="00A96D09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</w:p>
        </w:tc>
      </w:tr>
      <w:tr w:rsidR="00A96D09" w14:paraId="15D4DEA9" w14:textId="77777777">
        <w:trPr>
          <w:trHeight w:val="540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21AE1F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CNPJ: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219EC6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96D09" w14:paraId="69BBEAF6" w14:textId="77777777">
        <w:trPr>
          <w:trHeight w:val="525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6EACDF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Endereço completo: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EAB8B0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96D09" w14:paraId="2357C375" w14:textId="77777777">
        <w:trPr>
          <w:trHeight w:val="525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1D3F4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 do responsável legal: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9D29C2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96D09" w14:paraId="1208A4AC" w14:textId="77777777">
        <w:trPr>
          <w:trHeight w:val="525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F21A05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Cargo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DD2CB2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96D09" w14:paraId="1D165AEC" w14:textId="77777777">
        <w:trPr>
          <w:trHeight w:val="525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A225A3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Registro Geral (RG):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8ABF2D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D4D69F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CPF: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3A7138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96D09" w14:paraId="32B0362D" w14:textId="77777777">
        <w:trPr>
          <w:trHeight w:val="795"/>
        </w:trPr>
        <w:tc>
          <w:tcPr>
            <w:tcW w:w="29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AAC096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Endereço completo do responsável legal: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AB24D1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2D1B246E" w14:textId="77777777" w:rsidR="00A96D09" w:rsidRDefault="0034314A">
      <w:pPr>
        <w:spacing w:before="120" w:after="120" w:line="240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</w:t>
      </w:r>
      <w:r>
        <w:rPr>
          <w:sz w:val="24"/>
          <w:szCs w:val="24"/>
        </w:rPr>
        <w:tab/>
      </w:r>
    </w:p>
    <w:tbl>
      <w:tblPr>
        <w:tblStyle w:val="affe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A96D09" w14:paraId="1DD3807A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515FC3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b/>
                <w:sz w:val="24"/>
                <w:szCs w:val="24"/>
              </w:rPr>
              <w:t>OBJETO</w:t>
            </w:r>
          </w:p>
        </w:tc>
      </w:tr>
      <w:tr w:rsidR="00A96D09" w14:paraId="2171796F" w14:textId="77777777">
        <w:trPr>
          <w:trHeight w:val="1080"/>
        </w:trPr>
        <w:tc>
          <w:tcPr>
            <w:tcW w:w="99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F48A7B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3.1.</w:t>
            </w:r>
            <w:r>
              <w:rPr>
                <w:sz w:val="24"/>
                <w:szCs w:val="24"/>
              </w:rPr>
              <w:t xml:space="preserve"> O presente Termo de Compromisso Cultural-TCC tem como objeto</w:t>
            </w:r>
            <w:r>
              <w:rPr>
                <w:sz w:val="24"/>
                <w:szCs w:val="24"/>
              </w:rPr>
              <w:t xml:space="preserve"> a execução de projeto selecionado no</w:t>
            </w:r>
            <w:r>
              <w:rPr>
                <w:color w:val="FF0000"/>
                <w:sz w:val="24"/>
                <w:szCs w:val="24"/>
              </w:rPr>
              <w:t xml:space="preserve"> Edital XXX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highlight w:val="white"/>
              </w:rPr>
              <w:t>que visa a promoção do acesso da população aos bens e aos serviços culturais nos territórios e comunidades onde atuam, nos termos da Política Nacional de Cultura Viva - PNCV, conforme Plano de Trabalho anexo.</w:t>
            </w:r>
          </w:p>
        </w:tc>
      </w:tr>
    </w:tbl>
    <w:p w14:paraId="194C6E9E" w14:textId="77777777" w:rsidR="00A96D09" w:rsidRDefault="0034314A">
      <w:pPr>
        <w:ind w:left="0" w:hanging="2"/>
      </w:pPr>
      <w:r>
        <w:rPr>
          <w:sz w:val="24"/>
          <w:szCs w:val="24"/>
        </w:rPr>
        <w:t xml:space="preserve">                                                  </w:t>
      </w:r>
      <w:r>
        <w:rPr>
          <w:sz w:val="24"/>
          <w:szCs w:val="24"/>
        </w:rPr>
        <w:tab/>
        <w:t xml:space="preserve">                                                 </w:t>
      </w:r>
      <w:r>
        <w:rPr>
          <w:sz w:val="24"/>
          <w:szCs w:val="24"/>
        </w:rPr>
        <w:tab/>
      </w:r>
    </w:p>
    <w:tbl>
      <w:tblPr>
        <w:tblStyle w:val="afff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A96D09" w14:paraId="3D615891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3C6E54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4. </w:t>
            </w:r>
            <w:r>
              <w:rPr>
                <w:b/>
                <w:color w:val="000000"/>
                <w:sz w:val="24"/>
                <w:szCs w:val="24"/>
              </w:rPr>
              <w:t>OBRIGAÇÕES DAS PARTES</w:t>
            </w:r>
          </w:p>
        </w:tc>
      </w:tr>
      <w:tr w:rsidR="00A96D09" w14:paraId="5227FD71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8F9A86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</w:t>
            </w:r>
            <w:r>
              <w:rPr>
                <w:b/>
                <w:sz w:val="24"/>
                <w:szCs w:val="24"/>
              </w:rPr>
              <w:t>.1.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b/>
                <w:sz w:val="24"/>
                <w:szCs w:val="24"/>
              </w:rPr>
              <w:t xml:space="preserve">Do </w:t>
            </w:r>
            <w:r>
              <w:rPr>
                <w:b/>
                <w:sz w:val="24"/>
                <w:szCs w:val="24"/>
              </w:rPr>
              <w:t>[NOME DO ESTADO/MUNICÍPIO]</w:t>
            </w:r>
          </w:p>
        </w:tc>
      </w:tr>
      <w:tr w:rsidR="00A96D09" w14:paraId="367558E7" w14:textId="77777777">
        <w:trPr>
          <w:trHeight w:val="699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32AE11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Incumbe </w:t>
            </w:r>
            <w:r>
              <w:rPr>
                <w:sz w:val="24"/>
                <w:szCs w:val="24"/>
              </w:rPr>
              <w:t xml:space="preserve">à </w:t>
            </w:r>
            <w:r>
              <w:rPr>
                <w:color w:val="FF0000"/>
                <w:sz w:val="24"/>
                <w:szCs w:val="24"/>
              </w:rPr>
              <w:t>[NOME DO ENTE PÚBLICO]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observar as obrigações descritas na Instrução </w:t>
            </w:r>
            <w:r>
              <w:rPr>
                <w:sz w:val="24"/>
                <w:szCs w:val="24"/>
              </w:rPr>
              <w:t>legislação de regência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e </w:t>
            </w:r>
            <w:r>
              <w:rPr>
                <w:sz w:val="24"/>
                <w:szCs w:val="24"/>
              </w:rPr>
              <w:t>as seguintes responsabilidades:</w:t>
            </w:r>
          </w:p>
          <w:p w14:paraId="2A4CB019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- </w:t>
            </w:r>
            <w:proofErr w:type="gramStart"/>
            <w:r>
              <w:rPr>
                <w:sz w:val="24"/>
                <w:szCs w:val="24"/>
              </w:rPr>
              <w:t>coordenar</w:t>
            </w:r>
            <w:proofErr w:type="gramEnd"/>
            <w:r>
              <w:rPr>
                <w:sz w:val="24"/>
                <w:szCs w:val="24"/>
              </w:rPr>
              <w:t xml:space="preserve"> a gestão da PNCV, no âmbito de sua esfera de atuação;</w:t>
            </w:r>
          </w:p>
          <w:p w14:paraId="5B0C7477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- </w:t>
            </w:r>
            <w:proofErr w:type="gramStart"/>
            <w:r>
              <w:rPr>
                <w:sz w:val="24"/>
                <w:szCs w:val="24"/>
              </w:rPr>
              <w:t>atuar</w:t>
            </w:r>
            <w:proofErr w:type="gramEnd"/>
            <w:r>
              <w:rPr>
                <w:sz w:val="24"/>
                <w:szCs w:val="24"/>
              </w:rPr>
              <w:t xml:space="preserve"> em parceria federativa junto ao governo federal, governos estaduais, do Distrito Federal e municipais, e outras instituições, para efetivação dos objetivos da PNCV previstos em lei;</w:t>
            </w:r>
          </w:p>
          <w:p w14:paraId="07DCDAB7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- realizar planejamento de desenvolvimento da PNCV, observando o P</w:t>
            </w:r>
            <w:r>
              <w:rPr>
                <w:sz w:val="24"/>
                <w:szCs w:val="24"/>
              </w:rPr>
              <w:t>lano Nacional de Cultura</w:t>
            </w:r>
            <w:r>
              <w:rPr>
                <w:sz w:val="24"/>
                <w:szCs w:val="24"/>
              </w:rPr>
              <w:t xml:space="preserve"> e planos de cultura locais;</w:t>
            </w:r>
          </w:p>
          <w:p w14:paraId="3EBF5E05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IV - </w:t>
            </w:r>
            <w:proofErr w:type="gramStart"/>
            <w:r>
              <w:rPr>
                <w:sz w:val="24"/>
                <w:szCs w:val="24"/>
              </w:rPr>
              <w:t>garantir</w:t>
            </w:r>
            <w:proofErr w:type="gramEnd"/>
            <w:r>
              <w:rPr>
                <w:sz w:val="24"/>
                <w:szCs w:val="24"/>
              </w:rPr>
              <w:t xml:space="preserve"> recursos humanos, orçamentários, financeiros, logísticos e tecnológicos para implementação da PNCV e efetividade de seus resultados;</w:t>
            </w:r>
          </w:p>
          <w:p w14:paraId="4E86C0DB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 </w:t>
            </w:r>
            <w:proofErr w:type="gramStart"/>
            <w:r>
              <w:rPr>
                <w:sz w:val="24"/>
                <w:szCs w:val="24"/>
              </w:rPr>
              <w:t>-  desenvolver</w:t>
            </w:r>
            <w:proofErr w:type="gramEnd"/>
            <w:r>
              <w:rPr>
                <w:sz w:val="24"/>
                <w:szCs w:val="24"/>
              </w:rPr>
              <w:t xml:space="preserve"> uma gestão pública compartilhada e participativa, por meio da organização e institucionalização das instâncias, fóruns e espaços de diálogos institucionais entre os partícipes da PNCV, em sua área de abrangência territorial;</w:t>
            </w:r>
          </w:p>
          <w:p w14:paraId="22A15FA3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VI - </w:t>
            </w:r>
            <w:proofErr w:type="gramStart"/>
            <w:r>
              <w:rPr>
                <w:sz w:val="24"/>
                <w:szCs w:val="24"/>
              </w:rPr>
              <w:t>desenvolver</w:t>
            </w:r>
            <w:proofErr w:type="gramEnd"/>
            <w:r>
              <w:rPr>
                <w:sz w:val="24"/>
                <w:szCs w:val="24"/>
              </w:rPr>
              <w:t xml:space="preserve"> as ações estruturantes da PNCV por meio de políticas públicas integradas visando a promoção em uma cultura de direitos humanos e de valorização da cidadania e da diversidade artística e cultural;</w:t>
            </w:r>
          </w:p>
          <w:p w14:paraId="23DEAE08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VII - disponibilizar e manter em funcionamento o Cadastro Nacional dos </w:t>
            </w:r>
            <w:r>
              <w:rPr>
                <w:sz w:val="24"/>
                <w:szCs w:val="24"/>
              </w:rPr>
              <w:t>Pontos</w:t>
            </w:r>
            <w:r>
              <w:rPr>
                <w:sz w:val="24"/>
                <w:szCs w:val="24"/>
              </w:rPr>
              <w:t xml:space="preserve"> e Pontões de Cultura, no âmbito de sua esfera de atuação;</w:t>
            </w:r>
          </w:p>
          <w:p w14:paraId="30C73D20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VIII - fomentar ações para qualificação e formação de gestores, dirigentes de entidades culturais e outros agentes envolvidos no âmbito da PNCV;</w:t>
            </w:r>
          </w:p>
          <w:p w14:paraId="6680D4C2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IX - </w:t>
            </w:r>
            <w:proofErr w:type="gramStart"/>
            <w:r>
              <w:rPr>
                <w:sz w:val="24"/>
                <w:szCs w:val="24"/>
              </w:rPr>
              <w:t>dar</w:t>
            </w:r>
            <w:proofErr w:type="gramEnd"/>
            <w:r>
              <w:rPr>
                <w:sz w:val="24"/>
                <w:szCs w:val="24"/>
              </w:rPr>
              <w:t xml:space="preserve"> ciência da celebração de parcerias federativas, no que couber, aos conselhos de cultura, assembleias legislativas e câmaras municipais de vereadores para efeitos de acompanhamento e fiscalização;</w:t>
            </w:r>
          </w:p>
          <w:p w14:paraId="776EF209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 - </w:t>
            </w:r>
            <w:proofErr w:type="gramStart"/>
            <w:r>
              <w:rPr>
                <w:sz w:val="24"/>
                <w:szCs w:val="24"/>
              </w:rPr>
              <w:t>promover</w:t>
            </w:r>
            <w:proofErr w:type="gramEnd"/>
            <w:r>
              <w:rPr>
                <w:sz w:val="24"/>
                <w:szCs w:val="24"/>
              </w:rPr>
              <w:t xml:space="preserve"> ações de publicidade da PNCV que proporcionem controle social, transparência pública e visibilidade das ações junto à sociedade;</w:t>
            </w:r>
          </w:p>
          <w:p w14:paraId="7648421F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 - contribuir para o fortalecimento da atuação em redes territoriais, identitárias e temáticas no âmbito da PNCV;</w:t>
            </w:r>
          </w:p>
          <w:p w14:paraId="4D1D8D08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XII - realizar os atos e os procedimentos relativos à formalização, execução, acompanhamento e análise da prestação de contas do presente TCC;</w:t>
            </w:r>
          </w:p>
          <w:p w14:paraId="01B849CC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XIII - realizar os procedimentos relativos à Tomada de Contas Especial, quando for o caso;</w:t>
            </w:r>
          </w:p>
          <w:p w14:paraId="15F3BB14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XIV - cumprir com os procedimentos de transparência e publicidade atribuídos ao poder público conforme o disposto na Seção III da IN MinC nº 08 de 11 de maio de 2016;</w:t>
            </w:r>
          </w:p>
          <w:p w14:paraId="425CA8F0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XV - </w:t>
            </w:r>
            <w:proofErr w:type="gramStart"/>
            <w:r>
              <w:rPr>
                <w:sz w:val="24"/>
                <w:szCs w:val="24"/>
              </w:rPr>
              <w:t>repassar</w:t>
            </w:r>
            <w:proofErr w:type="gramEnd"/>
            <w:r>
              <w:rPr>
                <w:sz w:val="24"/>
                <w:szCs w:val="24"/>
              </w:rPr>
              <w:t xml:space="preserve"> os recursos financeiros ao PONT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 xml:space="preserve"> DE CULTURA, de acordo com a programação orçamentária e financeira do ente público, obedecendo ao cronograma financeiro constante deste instrumento e do plano de trabalho;</w:t>
            </w:r>
          </w:p>
          <w:p w14:paraId="77C9D248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XVI - prorrogar “de ofício” o prazo de vigência do TCC antes do seu término, quando der causa ao atraso na liberação dos recursos, limitada </w:t>
            </w:r>
            <w:r>
              <w:rPr>
                <w:sz w:val="24"/>
                <w:szCs w:val="24"/>
              </w:rPr>
              <w:t>à</w:t>
            </w:r>
            <w:r>
              <w:rPr>
                <w:sz w:val="24"/>
                <w:szCs w:val="24"/>
              </w:rPr>
              <w:t xml:space="preserve"> prorrogação ao exato período do atraso verificado;</w:t>
            </w:r>
          </w:p>
          <w:p w14:paraId="1494FEDB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XVII - aplicar as penalidades previstas e proceder às ações administrativas necessárias à exigência da restituição dos recursos transferidos;</w:t>
            </w:r>
          </w:p>
          <w:p w14:paraId="3301E436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XVIII - comunicar aos </w:t>
            </w:r>
            <w:r>
              <w:rPr>
                <w:sz w:val="24"/>
                <w:szCs w:val="24"/>
              </w:rPr>
              <w:t>Pontos</w:t>
            </w:r>
            <w:r>
              <w:rPr>
                <w:sz w:val="24"/>
                <w:szCs w:val="24"/>
              </w:rPr>
              <w:t xml:space="preserve"> e Pontões de Cultura a identificação de quaisquer irregularidades decorrentes do uso dos recursos ou pendências de ordem técnica, podendo suspender a liberação de recursos e fixar prazo de trinta dias para saneamento ou apresentação de justificativa com informações e esclarecimentos, prorrogável uma única vez por igual período.</w:t>
            </w:r>
          </w:p>
          <w:p w14:paraId="6A9CBE7C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XIX - analisar a prestação de contas dos recursos aplicados na consecução do objeto deste TCC, na forma e prazo fixados no Dec</w:t>
            </w:r>
            <w:r>
              <w:rPr>
                <w:sz w:val="24"/>
                <w:szCs w:val="24"/>
              </w:rPr>
              <w:t>reto nº 11.453/2023 e no</w:t>
            </w:r>
            <w:r>
              <w:rPr>
                <w:sz w:val="24"/>
                <w:szCs w:val="24"/>
              </w:rPr>
              <w:t xml:space="preserve"> art. 47 da IN MinC nº 08</w:t>
            </w:r>
            <w:r>
              <w:rPr>
                <w:sz w:val="24"/>
                <w:szCs w:val="24"/>
              </w:rPr>
              <w:t>/2016;</w:t>
            </w:r>
          </w:p>
          <w:p w14:paraId="1A449735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XX - </w:t>
            </w:r>
            <w:proofErr w:type="gramStart"/>
            <w:r>
              <w:rPr>
                <w:sz w:val="24"/>
                <w:szCs w:val="24"/>
              </w:rPr>
              <w:t>nos</w:t>
            </w:r>
            <w:proofErr w:type="gramEnd"/>
            <w:r>
              <w:rPr>
                <w:sz w:val="24"/>
                <w:szCs w:val="24"/>
              </w:rPr>
              <w:t xml:space="preserve"> casos em que o PONT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 xml:space="preserve"> DE CULTURA não apresentar o Relatório de Execução do Objeto ou o Relatório de Execução Financeira nos prazos devidos, enviar notificação exigindo que o faça no prazo máximo de trinta dias, sob pena de rejeição das contas e exigência de devolução integral dos recursos, com atualização monetária e juros;</w:t>
            </w:r>
          </w:p>
          <w:p w14:paraId="54697EE8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XXI - exercer, se conveniente e oportuno, a prerrogativa de assumir ou de transferir a responsabilidade pela execução do objeto, no caso de paralisação ou da ocorrência de fato relevante, de modo a evitar sua descontinuidade.</w:t>
            </w:r>
          </w:p>
          <w:p w14:paraId="6E365C07" w14:textId="77777777" w:rsidR="00A96D09" w:rsidRDefault="00A96D09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</w:p>
        </w:tc>
      </w:tr>
      <w:tr w:rsidR="00A96D09" w14:paraId="10D6520D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E0602C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</w:t>
            </w:r>
            <w:r>
              <w:rPr>
                <w:b/>
                <w:sz w:val="24"/>
                <w:szCs w:val="24"/>
              </w:rPr>
              <w:t>.2.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b/>
                <w:sz w:val="24"/>
                <w:szCs w:val="24"/>
              </w:rPr>
              <w:t>Da Entidade Cultural</w:t>
            </w:r>
          </w:p>
        </w:tc>
      </w:tr>
      <w:tr w:rsidR="00A96D09" w14:paraId="791B1CEF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167CF1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Incumbe à Entidade Cultural observar as obrigações descritas na </w:t>
            </w:r>
            <w:r>
              <w:rPr>
                <w:sz w:val="24"/>
                <w:szCs w:val="24"/>
              </w:rPr>
              <w:t>legislação de regência</w:t>
            </w:r>
            <w:r>
              <w:rPr>
                <w:sz w:val="24"/>
                <w:szCs w:val="24"/>
              </w:rPr>
              <w:t xml:space="preserve"> e, ainda, as seguintes responsabilidades:</w:t>
            </w:r>
          </w:p>
          <w:p w14:paraId="3EC3D037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- </w:t>
            </w:r>
            <w:proofErr w:type="gramStart"/>
            <w:r>
              <w:rPr>
                <w:sz w:val="24"/>
                <w:szCs w:val="24"/>
              </w:rPr>
              <w:t>executar</w:t>
            </w:r>
            <w:proofErr w:type="gramEnd"/>
            <w:r>
              <w:rPr>
                <w:sz w:val="24"/>
                <w:szCs w:val="24"/>
              </w:rPr>
              <w:t xml:space="preserve"> o projeto conforme Plano de Trabalho aprovado e produzir provas documentais sobre o andamento da execução do projeto, inclusive das alterações no Plano de Trabalho;</w:t>
            </w:r>
          </w:p>
          <w:p w14:paraId="79179D54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- </w:t>
            </w:r>
            <w:proofErr w:type="gramStart"/>
            <w:r>
              <w:rPr>
                <w:sz w:val="24"/>
                <w:szCs w:val="24"/>
              </w:rPr>
              <w:t>cumprir</w:t>
            </w:r>
            <w:proofErr w:type="gramEnd"/>
            <w:r>
              <w:rPr>
                <w:sz w:val="24"/>
                <w:szCs w:val="24"/>
              </w:rPr>
              <w:t xml:space="preserve"> com os procedimentos de transparência e publicidade atribuídos à entidade cultural conforme o disposto no Capítulo </w:t>
            </w:r>
            <w:proofErr w:type="gramStart"/>
            <w:r>
              <w:rPr>
                <w:sz w:val="24"/>
                <w:szCs w:val="24"/>
              </w:rPr>
              <w:t>IV,  Seção</w:t>
            </w:r>
            <w:proofErr w:type="gramEnd"/>
            <w:r>
              <w:rPr>
                <w:sz w:val="24"/>
                <w:szCs w:val="24"/>
              </w:rPr>
              <w:t xml:space="preserve"> III da IN MinC nº 08 de 11 de maio de 2016;</w:t>
            </w:r>
          </w:p>
          <w:p w14:paraId="19FB8712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III - divulgar, em destaque, o nome do Ministério da Cultura/Governo Federal e do ENTE PÚBLICO parceiro em todos os atos de promoção e divulgação do projeto, obedecendo aos critérios de </w:t>
            </w:r>
            <w:r>
              <w:rPr>
                <w:sz w:val="24"/>
                <w:szCs w:val="24"/>
              </w:rPr>
              <w:lastRenderedPageBreak/>
              <w:t>veiculação das logomarcas estabelecidas, que serão disponibilizadas pela SCDC/MinC e pelo ENTE PÚBLICO parceiro, observadas as restrições vigentes em ano eleitoral, quando for o caso;</w:t>
            </w:r>
          </w:p>
          <w:p w14:paraId="61797236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IV - </w:t>
            </w:r>
            <w:proofErr w:type="gramStart"/>
            <w:r>
              <w:rPr>
                <w:sz w:val="24"/>
                <w:szCs w:val="24"/>
              </w:rPr>
              <w:t>desenvolver</w:t>
            </w:r>
            <w:proofErr w:type="gramEnd"/>
            <w:r>
              <w:rPr>
                <w:sz w:val="24"/>
                <w:szCs w:val="24"/>
              </w:rPr>
              <w:t xml:space="preserve"> uma gestão compartilhada e participativa, por meio de instâncias, fóruns e espaços de diálogos junto aos beneficiários em sua área de abrangência;</w:t>
            </w:r>
          </w:p>
          <w:p w14:paraId="0B1F760F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 - </w:t>
            </w:r>
            <w:proofErr w:type="gramStart"/>
            <w:r>
              <w:rPr>
                <w:sz w:val="24"/>
                <w:szCs w:val="24"/>
              </w:rPr>
              <w:t>envidar</w:t>
            </w:r>
            <w:proofErr w:type="gramEnd"/>
            <w:r>
              <w:rPr>
                <w:sz w:val="24"/>
                <w:szCs w:val="24"/>
              </w:rPr>
              <w:t xml:space="preserve"> esforços visando atuar nos processos participativos instituídos pelo Sistema Nacional de Cultura-SNC (especialmente as Conferências de Cultura) e pela PNCV (especialmente as </w:t>
            </w:r>
            <w:proofErr w:type="spellStart"/>
            <w:r>
              <w:rPr>
                <w:sz w:val="24"/>
                <w:szCs w:val="24"/>
              </w:rPr>
              <w:t>TEIAs</w:t>
            </w:r>
            <w:proofErr w:type="spellEnd"/>
            <w:r>
              <w:rPr>
                <w:sz w:val="24"/>
                <w:szCs w:val="24"/>
              </w:rPr>
              <w:t>) em âmbito local, regional e nacional;</w:t>
            </w:r>
          </w:p>
          <w:p w14:paraId="5100DB44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VI - </w:t>
            </w:r>
            <w:proofErr w:type="gramStart"/>
            <w:r>
              <w:rPr>
                <w:sz w:val="24"/>
                <w:szCs w:val="24"/>
              </w:rPr>
              <w:t>estimular</w:t>
            </w:r>
            <w:proofErr w:type="gramEnd"/>
            <w:r>
              <w:rPr>
                <w:sz w:val="24"/>
                <w:szCs w:val="24"/>
              </w:rPr>
              <w:t xml:space="preserve"> a participação ativa dos beneficiários da PNCV nos processos participativos instituídos no SNC e na PNCV em âmbito local, regional e nacional;</w:t>
            </w:r>
          </w:p>
          <w:p w14:paraId="28E893ED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VII - contribuir com a organização e funcionamento da Rede Cultura Viva e de suas instâncias, mecanismos e processos de gestão compartilhada, participação e controle social;</w:t>
            </w:r>
          </w:p>
          <w:p w14:paraId="7D7FA4DD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VIII - manter seus dados cadastrais atualizados no Cadastro Nacional de Pontos e Pontões de Cultura, atendendo à chamada anual de atualização de dados;</w:t>
            </w:r>
          </w:p>
          <w:p w14:paraId="24E4B436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IX - dar transparência aos valores pagos a título de remuneração de sua equipe de trabalho vinculada à execução do TCC, em sua sede e no seu sítio eletrônico, sendo vedado o pagamento, a qualquer título, a servidor ou empregado público, salvo nas hipóteses previstas em lei específica ou na Lei de Diretrizes Orçamentárias, a empresas privadas que tenham em seu quadro societário servidor público da ativa, ou a empregado de empresa pública, ou de sociedade de economia mista, por serviços prestados, inclusive c</w:t>
            </w:r>
            <w:r>
              <w:rPr>
                <w:sz w:val="24"/>
                <w:szCs w:val="24"/>
              </w:rPr>
              <w:t>onsultoria, assistência técnica ou assemelhados;</w:t>
            </w:r>
          </w:p>
          <w:p w14:paraId="74E25441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 - </w:t>
            </w:r>
            <w:proofErr w:type="gramStart"/>
            <w:r>
              <w:rPr>
                <w:sz w:val="24"/>
                <w:szCs w:val="24"/>
              </w:rPr>
              <w:t>permitir</w:t>
            </w:r>
            <w:proofErr w:type="gramEnd"/>
            <w:r>
              <w:rPr>
                <w:sz w:val="24"/>
                <w:szCs w:val="24"/>
              </w:rPr>
              <w:t xml:space="preserve"> livre acesso dos servidores dos órgãos ou das entidades públicas repassadoras dos recursos, do controle interno e do tribunal de contas correspondentes aos processos, aos documentos, às informações referentes aos instrumentos de transferências regulamentados pela Instrução Normativa/MinC nº 8/2016, bem como aos locais de execução do objeto;</w:t>
            </w:r>
          </w:p>
          <w:p w14:paraId="29C73D3F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 - a responsabilidade exclusiva pelo gerenciamento administrativo e financeiro dos recursos recebidos</w:t>
            </w:r>
            <w:r>
              <w:rPr>
                <w:sz w:val="24"/>
                <w:szCs w:val="24"/>
              </w:rPr>
              <w:t xml:space="preserve">; </w:t>
            </w:r>
          </w:p>
          <w:p w14:paraId="5B8568A3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XII - pagar os encargos trabalhistas, previdenciários, fiscais e comerciais relativos ao funcionamento da instituição e ao adimplemento do TCC, não se caracterizando responsabilidade solidária ou subsidiária da administração pública concedente pelos respectivos pagamentos ou qualquer oneração do objeto da parceria ou restrição à sua execução;</w:t>
            </w:r>
          </w:p>
          <w:p w14:paraId="280C0B62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XIII - prestar contas dos recursos recebidos, conforme acordado neste Termo </w:t>
            </w:r>
            <w:proofErr w:type="gramStart"/>
            <w:r>
              <w:rPr>
                <w:sz w:val="24"/>
                <w:szCs w:val="24"/>
              </w:rPr>
              <w:t>e  na</w:t>
            </w:r>
            <w:proofErr w:type="gramEnd"/>
            <w:r>
              <w:rPr>
                <w:sz w:val="24"/>
                <w:szCs w:val="24"/>
              </w:rPr>
              <w:t xml:space="preserve"> forma dos atos normativos que se relacionam com o tema;</w:t>
            </w:r>
          </w:p>
          <w:p w14:paraId="711D8418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XIV - guardar os documentos originais de comprovação do cumprimento do objeto pelo prazo de </w:t>
            </w:r>
            <w:r>
              <w:rPr>
                <w:sz w:val="24"/>
                <w:szCs w:val="24"/>
              </w:rPr>
              <w:t xml:space="preserve">cinco </w:t>
            </w:r>
            <w:r>
              <w:rPr>
                <w:sz w:val="24"/>
                <w:szCs w:val="24"/>
              </w:rPr>
              <w:t xml:space="preserve">anos após a entrega da prestação de contas, estando ciente de que a documentação de comprovação fiscal em princípio não será exigida, mas deve ser obtida e guardada pela entidade </w:t>
            </w:r>
            <w:r>
              <w:rPr>
                <w:sz w:val="24"/>
                <w:szCs w:val="24"/>
              </w:rPr>
              <w:lastRenderedPageBreak/>
              <w:t xml:space="preserve">cultural pelo mesmo prazo, e </w:t>
            </w:r>
            <w:r>
              <w:rPr>
                <w:sz w:val="24"/>
                <w:szCs w:val="24"/>
              </w:rPr>
              <w:t>inclusive pode ser solicitada para fins de demonstração de cumprimento de obrigações perante outras autoridades estatais, tais como os órgãos de fiscalização tributária, previdenciária e trabalhista, órgãos de controle interno e externo do Governo Estadual ou Federal</w:t>
            </w:r>
            <w:r>
              <w:rPr>
                <w:sz w:val="24"/>
                <w:szCs w:val="24"/>
              </w:rPr>
              <w:t>; e</w:t>
            </w:r>
          </w:p>
          <w:p w14:paraId="1461703A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XV - </w:t>
            </w:r>
            <w:proofErr w:type="gramStart"/>
            <w:r>
              <w:rPr>
                <w:sz w:val="24"/>
                <w:szCs w:val="24"/>
              </w:rPr>
              <w:t>adquirir</w:t>
            </w:r>
            <w:proofErr w:type="gramEnd"/>
            <w:r>
              <w:rPr>
                <w:sz w:val="24"/>
                <w:szCs w:val="24"/>
              </w:rPr>
              <w:t xml:space="preserve"> e manter em bom estado equipamentos multimídia, direcionados à cultura digital, que contribuam com o objeto pactuado, salvo quando a Entidade declare que já possui equipamento em adequadas condições de manutenção e funcionamento, comprometendo-se a disponibilizá-lo para uso na execução da parceria</w:t>
            </w:r>
            <w:r>
              <w:rPr>
                <w:sz w:val="24"/>
                <w:szCs w:val="24"/>
              </w:rPr>
              <w:t>.</w:t>
            </w:r>
          </w:p>
        </w:tc>
      </w:tr>
    </w:tbl>
    <w:p w14:paraId="2032020D" w14:textId="77777777" w:rsidR="00A96D09" w:rsidRDefault="00A96D09">
      <w:pPr>
        <w:ind w:left="0" w:hanging="2"/>
      </w:pPr>
    </w:p>
    <w:tbl>
      <w:tblPr>
        <w:tblStyle w:val="afff0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A96D09" w14:paraId="4C8ED8C9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855EB3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5. </w:t>
            </w:r>
            <w:r>
              <w:rPr>
                <w:b/>
                <w:color w:val="000000"/>
                <w:sz w:val="24"/>
                <w:szCs w:val="24"/>
              </w:rPr>
              <w:t>DOS VALORES</w:t>
            </w:r>
          </w:p>
        </w:tc>
      </w:tr>
      <w:tr w:rsidR="00A96D09" w14:paraId="1502B08B" w14:textId="77777777">
        <w:trPr>
          <w:trHeight w:val="139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1F761B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Para execução das atividades previstas no Plano de Trabalho deste TCC, serão disponibilizados pelo Ente Público recursos no valor total em desembolso único de</w:t>
            </w:r>
            <w:r>
              <w:rPr>
                <w:color w:val="FF0000"/>
                <w:sz w:val="24"/>
                <w:szCs w:val="24"/>
              </w:rPr>
              <w:t xml:space="preserve"> R$XXXX ou em parcelas de XXX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>- no caso de projetos de 24 ou 36 meses, o valor total deverá considerar os parâmetros anuais definidos na Portaria MinC nº206/2025</w:t>
            </w:r>
            <w:r>
              <w:rPr>
                <w:sz w:val="24"/>
                <w:szCs w:val="24"/>
              </w:rPr>
              <w:t xml:space="preserve">, de acordo com o Cronograma de Desembolso constante do Plano de Trabalho, correspondente à Nota de Empenho </w:t>
            </w:r>
            <w:r>
              <w:rPr>
                <w:color w:val="FF0000"/>
                <w:sz w:val="24"/>
                <w:szCs w:val="24"/>
              </w:rPr>
              <w:t>XXXX, de XX/XX/2023.</w:t>
            </w:r>
          </w:p>
        </w:tc>
      </w:tr>
      <w:tr w:rsidR="00A96D09" w14:paraId="3E283E17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3B89F5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5.1 </w:t>
            </w:r>
            <w:r>
              <w:rPr>
                <w:b/>
                <w:color w:val="000000"/>
                <w:sz w:val="24"/>
                <w:szCs w:val="24"/>
              </w:rPr>
              <w:t>Da movimentação dos recursos financeiros</w:t>
            </w:r>
          </w:p>
        </w:tc>
      </w:tr>
      <w:tr w:rsidR="00A96D09" w14:paraId="7FA5BE24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E2DA23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Os recursos referentes ao presente Termo de Compromisso Cultural, a serem desembolsados pelo Ente Público, serão depositados e geridos em conta específica de instituição financeira indicada pela entidade cultural, na </w:t>
            </w:r>
            <w:r>
              <w:rPr>
                <w:color w:val="FF0000"/>
                <w:sz w:val="24"/>
                <w:szCs w:val="24"/>
              </w:rPr>
              <w:t>Agência XXXX – Banco XXXX, na cidade XXXX, UF XX,</w:t>
            </w:r>
            <w:r>
              <w:rPr>
                <w:sz w:val="24"/>
                <w:szCs w:val="24"/>
              </w:rPr>
              <w:t xml:space="preserve"> em conformidade com os prazos estabelecidos no Cronograma Financeiro constante do Plano de Trabalho.</w:t>
            </w:r>
          </w:p>
          <w:p w14:paraId="21D74C21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5.1.1 </w:t>
            </w:r>
            <w:r>
              <w:rPr>
                <w:sz w:val="24"/>
                <w:szCs w:val="24"/>
              </w:rPr>
              <w:t>Os recursos depositados nesta conta bancária específica, enquanto não empregados na sua finalidade, serão obrigatoriamente aplicados:</w:t>
            </w:r>
          </w:p>
          <w:p w14:paraId="5B90588A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- </w:t>
            </w:r>
            <w:proofErr w:type="gramStart"/>
            <w:r>
              <w:rPr>
                <w:sz w:val="24"/>
                <w:szCs w:val="24"/>
              </w:rPr>
              <w:t>em</w:t>
            </w:r>
            <w:proofErr w:type="gramEnd"/>
            <w:r>
              <w:rPr>
                <w:sz w:val="24"/>
                <w:szCs w:val="24"/>
              </w:rPr>
              <w:t xml:space="preserve"> caderneta de poupança, ou</w:t>
            </w:r>
          </w:p>
          <w:p w14:paraId="4BA19C12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- </w:t>
            </w:r>
            <w:proofErr w:type="gramStart"/>
            <w:r>
              <w:rPr>
                <w:sz w:val="24"/>
                <w:szCs w:val="24"/>
              </w:rPr>
              <w:t>em</w:t>
            </w:r>
            <w:proofErr w:type="gramEnd"/>
            <w:r>
              <w:rPr>
                <w:sz w:val="24"/>
                <w:szCs w:val="24"/>
              </w:rPr>
              <w:t xml:space="preserve"> fundo de aplicação financeira de curto prazo ou operação de mercado aberto lastreada em título da dívida pública.</w:t>
            </w:r>
          </w:p>
          <w:p w14:paraId="11ED34A3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5.1.2</w:t>
            </w:r>
            <w:r>
              <w:rPr>
                <w:sz w:val="24"/>
                <w:szCs w:val="24"/>
              </w:rPr>
              <w:t xml:space="preserve"> Os recursos dest</w:t>
            </w:r>
            <w:r>
              <w:rPr>
                <w:sz w:val="24"/>
                <w:szCs w:val="24"/>
              </w:rPr>
              <w:t>e Termo de Compromisso Cultural</w:t>
            </w:r>
            <w:r>
              <w:rPr>
                <w:sz w:val="24"/>
                <w:szCs w:val="24"/>
              </w:rPr>
              <w:t xml:space="preserve"> serão utilizados exclusivamente para o pagamento das despesas previstas no objeto do TCC, vedada a sua aplicação em finalidade diversa, ainda que decorrentes de necessidade emergencial do PONT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 xml:space="preserve"> DE CULTURA.</w:t>
            </w:r>
          </w:p>
          <w:p w14:paraId="5408F960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5.1.3 </w:t>
            </w:r>
            <w:r>
              <w:rPr>
                <w:sz w:val="24"/>
                <w:szCs w:val="24"/>
              </w:rPr>
              <w:t>Os rendimentos de aplicações financeiras poderão ser aplicados para manter o poder de compra dos recursos da parceria, bem como para ampliação ou criação de metas, durante a vigência do TCC, desde que contribuam para a execução do objeto, ou para incremento deste.</w:t>
            </w:r>
          </w:p>
          <w:p w14:paraId="7753BF7F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5.1.4 </w:t>
            </w:r>
            <w:r>
              <w:rPr>
                <w:sz w:val="24"/>
                <w:szCs w:val="24"/>
              </w:rPr>
              <w:t xml:space="preserve">O uso de rendimentos para as finalidades descritas </w:t>
            </w:r>
            <w:r>
              <w:rPr>
                <w:sz w:val="24"/>
                <w:szCs w:val="24"/>
              </w:rPr>
              <w:t>no item 5.1.3</w:t>
            </w:r>
            <w:r>
              <w:rPr>
                <w:sz w:val="24"/>
                <w:szCs w:val="24"/>
              </w:rPr>
              <w:t xml:space="preserve"> poderá ser realizado sem autorização prévia da administração pública, desde que seja descrito no Relatório de Execução do Objeto, com motivação.</w:t>
            </w:r>
          </w:p>
          <w:p w14:paraId="62E6735B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5.1.5 </w:t>
            </w:r>
            <w:r>
              <w:rPr>
                <w:sz w:val="24"/>
                <w:szCs w:val="24"/>
              </w:rPr>
              <w:t>O remanejamento de recurso no plano de trabalho poderá ocorrer desde que:</w:t>
            </w:r>
          </w:p>
          <w:p w14:paraId="3DE44C97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- </w:t>
            </w:r>
            <w:proofErr w:type="gramStart"/>
            <w:r>
              <w:rPr>
                <w:sz w:val="24"/>
                <w:szCs w:val="24"/>
              </w:rPr>
              <w:t>seja</w:t>
            </w:r>
            <w:proofErr w:type="gramEnd"/>
            <w:r>
              <w:rPr>
                <w:sz w:val="24"/>
                <w:szCs w:val="24"/>
              </w:rPr>
              <w:t xml:space="preserve"> realizado durante a vigência d</w:t>
            </w:r>
            <w:r>
              <w:rPr>
                <w:sz w:val="24"/>
                <w:szCs w:val="24"/>
              </w:rPr>
              <w:t>o TCC</w:t>
            </w:r>
            <w:r>
              <w:rPr>
                <w:sz w:val="24"/>
                <w:szCs w:val="24"/>
              </w:rPr>
              <w:t>;</w:t>
            </w:r>
          </w:p>
          <w:p w14:paraId="7A5B1139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- </w:t>
            </w:r>
            <w:proofErr w:type="gramStart"/>
            <w:r>
              <w:rPr>
                <w:sz w:val="24"/>
                <w:szCs w:val="24"/>
              </w:rPr>
              <w:t>tenha</w:t>
            </w:r>
            <w:proofErr w:type="gramEnd"/>
            <w:r>
              <w:rPr>
                <w:sz w:val="24"/>
                <w:szCs w:val="24"/>
              </w:rPr>
              <w:t xml:space="preserve"> como finalidade o cumprimento do objeto pactuado;</w:t>
            </w:r>
          </w:p>
          <w:p w14:paraId="12B0A5C8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- não altere o valor global do orçamento aprovado no TCC</w:t>
            </w:r>
            <w:r>
              <w:rPr>
                <w:sz w:val="24"/>
                <w:szCs w:val="24"/>
              </w:rPr>
              <w:t>.</w:t>
            </w:r>
          </w:p>
          <w:p w14:paraId="1DD496B1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5.1.6 </w:t>
            </w:r>
            <w:r>
              <w:rPr>
                <w:sz w:val="24"/>
                <w:szCs w:val="24"/>
              </w:rPr>
              <w:t>Após a conclusão, rescisão ou extinção d</w:t>
            </w:r>
            <w:r>
              <w:rPr>
                <w:sz w:val="24"/>
                <w:szCs w:val="24"/>
              </w:rPr>
              <w:t>este TCC</w:t>
            </w:r>
            <w:r>
              <w:rPr>
                <w:sz w:val="24"/>
                <w:szCs w:val="24"/>
              </w:rPr>
              <w:t>, os saldos financeiros remanescentes, inclusive os provenientes das receitas obtidas das aplicações financeiras realizadas, deverão ser devolvidos pelo PONT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 xml:space="preserve"> DE CULTURA ao Ente Público, no prazo de trinta dias.</w:t>
            </w:r>
          </w:p>
        </w:tc>
      </w:tr>
    </w:tbl>
    <w:p w14:paraId="147C73FA" w14:textId="77777777" w:rsidR="00A96D09" w:rsidRDefault="00A96D09">
      <w:pPr>
        <w:ind w:left="0" w:hanging="2"/>
      </w:pPr>
    </w:p>
    <w:tbl>
      <w:tblPr>
        <w:tblStyle w:val="afff1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A96D09" w14:paraId="315BCB98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79EBE8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6. </w:t>
            </w:r>
            <w:r>
              <w:rPr>
                <w:b/>
                <w:color w:val="000000"/>
                <w:sz w:val="24"/>
                <w:szCs w:val="24"/>
              </w:rPr>
              <w:t>DO ACOMPANHAMENTO E AVALIAÇÃO</w:t>
            </w:r>
          </w:p>
        </w:tc>
      </w:tr>
      <w:tr w:rsidR="00A96D09" w14:paraId="71ADAEC4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9E556B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6.1. </w:t>
            </w:r>
            <w:r>
              <w:rPr>
                <w:sz w:val="24"/>
                <w:szCs w:val="24"/>
              </w:rPr>
              <w:t xml:space="preserve">O </w:t>
            </w:r>
            <w:r>
              <w:rPr>
                <w:color w:val="FF0000"/>
                <w:sz w:val="24"/>
                <w:szCs w:val="24"/>
              </w:rPr>
              <w:t>[NOME DO ENTE PÚBLICO]</w:t>
            </w:r>
            <w:r>
              <w:rPr>
                <w:sz w:val="24"/>
                <w:szCs w:val="24"/>
              </w:rPr>
              <w:t xml:space="preserve"> realizará o acompanhamento e a avaliação da execução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deste TCC, periodicamente, durante a vigência da parceria, com vistas a promover o levantamento de dados para subsidiar a avaliação da prestação de contas podendo, para tanto:</w:t>
            </w:r>
          </w:p>
          <w:p w14:paraId="3A3FC37C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</w:t>
            </w:r>
            <w:proofErr w:type="gramStart"/>
            <w:r>
              <w:rPr>
                <w:sz w:val="24"/>
                <w:szCs w:val="24"/>
              </w:rPr>
              <w:t>-  exigir</w:t>
            </w:r>
            <w:proofErr w:type="gramEnd"/>
            <w:r>
              <w:rPr>
                <w:sz w:val="24"/>
                <w:szCs w:val="24"/>
              </w:rPr>
              <w:t xml:space="preserve"> informações técnicas (incluindo relatório fotográfico), prestações de contas parciais e/ou final a qualquer momento;</w:t>
            </w:r>
          </w:p>
          <w:p w14:paraId="3B3B4F2D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- </w:t>
            </w:r>
            <w:proofErr w:type="gramStart"/>
            <w:r>
              <w:rPr>
                <w:sz w:val="24"/>
                <w:szCs w:val="24"/>
              </w:rPr>
              <w:t>exigir</w:t>
            </w:r>
            <w:proofErr w:type="gramEnd"/>
            <w:r>
              <w:rPr>
                <w:sz w:val="24"/>
                <w:szCs w:val="24"/>
              </w:rPr>
              <w:t xml:space="preserve"> o registro, nos sistemas institucionais indicados pelo Ministério da Cultura, das atividades provenientes da execução do TCC;</w:t>
            </w:r>
          </w:p>
          <w:p w14:paraId="6D595719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- usar os diversos canais eletrônicos de comunicação e divulgação absorvendo informações sobre a execução do TCC e adotando providências necessárias, quando for o caso;</w:t>
            </w:r>
          </w:p>
          <w:p w14:paraId="176F4D8D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IV - </w:t>
            </w:r>
            <w:proofErr w:type="gramStart"/>
            <w:r>
              <w:rPr>
                <w:sz w:val="24"/>
                <w:szCs w:val="24"/>
              </w:rPr>
              <w:t>fazer</w:t>
            </w:r>
            <w:proofErr w:type="gramEnd"/>
            <w:r>
              <w:rPr>
                <w:sz w:val="24"/>
                <w:szCs w:val="24"/>
              </w:rPr>
              <w:t xml:space="preserve"> vistoria in loco (</w:t>
            </w:r>
            <w:r>
              <w:rPr>
                <w:sz w:val="24"/>
                <w:szCs w:val="24"/>
              </w:rPr>
              <w:t>vistoria no local)</w:t>
            </w:r>
            <w:r>
              <w:rPr>
                <w:sz w:val="24"/>
                <w:szCs w:val="24"/>
              </w:rPr>
              <w:t>;</w:t>
            </w:r>
          </w:p>
          <w:p w14:paraId="23FECA41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 - </w:t>
            </w:r>
            <w:proofErr w:type="gramStart"/>
            <w:r>
              <w:rPr>
                <w:sz w:val="24"/>
                <w:szCs w:val="24"/>
              </w:rPr>
              <w:t>utilizar</w:t>
            </w:r>
            <w:proofErr w:type="gramEnd"/>
            <w:r>
              <w:rPr>
                <w:sz w:val="24"/>
                <w:szCs w:val="24"/>
              </w:rPr>
              <w:t xml:space="preserve"> apoio técnico de terceiros, delegar competência ou firmar parcerias com órgãos ou entidades.</w:t>
            </w:r>
          </w:p>
          <w:p w14:paraId="00A1E3A7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6.2 </w:t>
            </w:r>
            <w:r>
              <w:rPr>
                <w:sz w:val="24"/>
                <w:szCs w:val="24"/>
              </w:rPr>
              <w:t>O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>[NOME DO ENTE PÚBLICO]</w:t>
            </w:r>
            <w:r>
              <w:rPr>
                <w:sz w:val="24"/>
                <w:szCs w:val="24"/>
              </w:rPr>
              <w:t xml:space="preserve"> produzirá registros sobre suas atividades de acompanhamento e monitoramento, por meio de certidões, memórias de reunião, relatórios ou outros documentos técnicos, podendo propor à entidade cultural a reorientação das ações ou a realização de ajustes para aprimorar a execução do objeto da parceria.</w:t>
            </w:r>
          </w:p>
          <w:p w14:paraId="5DA72E72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6.3 Os </w:t>
            </w:r>
            <w:proofErr w:type="spellStart"/>
            <w:r>
              <w:rPr>
                <w:sz w:val="24"/>
                <w:szCs w:val="24"/>
              </w:rPr>
              <w:t>TCCs</w:t>
            </w:r>
            <w:proofErr w:type="spellEnd"/>
            <w:r>
              <w:rPr>
                <w:sz w:val="24"/>
                <w:szCs w:val="24"/>
              </w:rPr>
              <w:t xml:space="preserve"> estarão também </w:t>
            </w:r>
            <w:r>
              <w:rPr>
                <w:sz w:val="24"/>
                <w:szCs w:val="24"/>
              </w:rPr>
              <w:t>sujeitos</w:t>
            </w:r>
            <w:r>
              <w:rPr>
                <w:sz w:val="24"/>
                <w:szCs w:val="24"/>
              </w:rPr>
              <w:t xml:space="preserve"> aos mecanismos de controle social previstos na legislação e ao acompanhamento por comissões e conselhos de políticas públicas da área cultural.</w:t>
            </w:r>
          </w:p>
        </w:tc>
      </w:tr>
    </w:tbl>
    <w:p w14:paraId="2F169B53" w14:textId="77777777" w:rsidR="00A96D09" w:rsidRDefault="00A96D09">
      <w:pPr>
        <w:ind w:left="0" w:hanging="2"/>
      </w:pPr>
    </w:p>
    <w:tbl>
      <w:tblPr>
        <w:tblStyle w:val="afff2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A96D09" w14:paraId="033610A3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519E64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7. </w:t>
            </w:r>
            <w:r>
              <w:rPr>
                <w:b/>
                <w:color w:val="000000"/>
                <w:sz w:val="24"/>
                <w:szCs w:val="24"/>
              </w:rPr>
              <w:t>DA PRESTAÇÃO DE CONTAS</w:t>
            </w:r>
          </w:p>
        </w:tc>
      </w:tr>
      <w:tr w:rsidR="00A96D09" w14:paraId="449483EF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28FA6E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7.1 </w:t>
            </w:r>
            <w:r>
              <w:rPr>
                <w:sz w:val="24"/>
                <w:szCs w:val="24"/>
              </w:rPr>
              <w:t xml:space="preserve">A prestação de contas será apresentada por meio do </w:t>
            </w:r>
            <w:r>
              <w:rPr>
                <w:sz w:val="24"/>
                <w:szCs w:val="24"/>
                <w:u w:val="single"/>
              </w:rPr>
              <w:t>Relatório de Execução do Objeto</w:t>
            </w:r>
            <w:r>
              <w:rPr>
                <w:sz w:val="24"/>
                <w:szCs w:val="24"/>
              </w:rPr>
              <w:t>, no prazo de 90 (noventa) dias após o fim da vigência do TCC, contendo:</w:t>
            </w:r>
          </w:p>
          <w:p w14:paraId="5B1C3729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- </w:t>
            </w:r>
            <w:proofErr w:type="gramStart"/>
            <w:r>
              <w:rPr>
                <w:sz w:val="24"/>
                <w:szCs w:val="24"/>
              </w:rPr>
              <w:t>relato</w:t>
            </w:r>
            <w:proofErr w:type="gramEnd"/>
            <w:r>
              <w:rPr>
                <w:sz w:val="24"/>
                <w:szCs w:val="24"/>
              </w:rPr>
              <w:t xml:space="preserve"> das atividades realizadas para o cumprimento do objeto, que deve tratar sobre o alcance dos objetivos, sobre ações eventualmente realizadas para promover a acessibilidade e os desdobramentos do projeto, tendo por referência as informações constantes no plano de trabalho;</w:t>
            </w:r>
          </w:p>
          <w:p w14:paraId="647D11A2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- </w:t>
            </w:r>
            <w:proofErr w:type="gramStart"/>
            <w:r>
              <w:rPr>
                <w:sz w:val="24"/>
                <w:szCs w:val="24"/>
              </w:rPr>
              <w:t>comparativo</w:t>
            </w:r>
            <w:proofErr w:type="gramEnd"/>
            <w:r>
              <w:rPr>
                <w:sz w:val="24"/>
                <w:szCs w:val="24"/>
              </w:rPr>
              <w:t xml:space="preserve"> de metas propostas com os resultados alcançados, a partir das informações constantes do plano de trabalho, podendo a comprovação sobre os produtos e serviços relativos às metas se dar pela apresentação de fotos, listas de presença, vídeos, entre outros;</w:t>
            </w:r>
          </w:p>
          <w:p w14:paraId="2D1A69B7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- material que comprove a execução de cada item de despesa e a consecução de cada uma das metas (fotos, listas de presença, vídeos, entre outros) descrito no Plano de Trabalho</w:t>
            </w:r>
            <w:r>
              <w:rPr>
                <w:sz w:val="24"/>
                <w:szCs w:val="24"/>
              </w:rPr>
              <w:t>.</w:t>
            </w:r>
          </w:p>
          <w:p w14:paraId="6956609A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7.2 </w:t>
            </w:r>
            <w:r>
              <w:rPr>
                <w:sz w:val="24"/>
                <w:szCs w:val="24"/>
              </w:rPr>
              <w:t>Os documentos originais de comprovação do cumprimento do objeto deverão ser guardados pelo PONT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 xml:space="preserve"> DE CULTURA pelo prazo de </w:t>
            </w:r>
            <w:r>
              <w:rPr>
                <w:sz w:val="24"/>
                <w:szCs w:val="24"/>
              </w:rPr>
              <w:t>cinco</w:t>
            </w:r>
            <w:r>
              <w:rPr>
                <w:sz w:val="24"/>
                <w:szCs w:val="24"/>
              </w:rPr>
              <w:t xml:space="preserve"> anos após a entrega da prestação de contas.</w:t>
            </w:r>
          </w:p>
          <w:p w14:paraId="31C4ECF5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7.3 </w:t>
            </w:r>
            <w:r>
              <w:rPr>
                <w:sz w:val="24"/>
                <w:szCs w:val="24"/>
              </w:rPr>
              <w:t>O prazo de apresentação do Relatório de Execução do Objeto poderá ser prorrogado por até trinta dias, mediante solicitação fundamentada do PONT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 xml:space="preserve"> DE CULTURA.</w:t>
            </w:r>
          </w:p>
          <w:p w14:paraId="6AC333E4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7.4 </w:t>
            </w:r>
            <w:r>
              <w:rPr>
                <w:sz w:val="24"/>
                <w:szCs w:val="24"/>
              </w:rPr>
              <w:t>Caso o Ente Público verifique que houve inadequação na execução do objeto, o PONT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 xml:space="preserve"> DE CULTURA será notificado para apresentar Relatório de Execução Financeiro, no prazo de trinta dias, contendo:</w:t>
            </w:r>
          </w:p>
          <w:p w14:paraId="5DAA9734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I- - relação de pagamentos, com indicação dos beneficiários desses pagamentos e identificação do item de despesa e meta relacionados a cada pagamento;</w:t>
            </w:r>
          </w:p>
          <w:p w14:paraId="74779CE0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- </w:t>
            </w:r>
            <w:proofErr w:type="gramStart"/>
            <w:r>
              <w:rPr>
                <w:sz w:val="24"/>
                <w:szCs w:val="24"/>
              </w:rPr>
              <w:t>extrato</w:t>
            </w:r>
            <w:proofErr w:type="gramEnd"/>
            <w:r>
              <w:rPr>
                <w:sz w:val="24"/>
                <w:szCs w:val="24"/>
              </w:rPr>
              <w:t xml:space="preserve"> bancário da conta do TCC, incluindo toda a movimentação desde a abertura até a última movimentação, e conciliação bancária; e</w:t>
            </w:r>
          </w:p>
          <w:p w14:paraId="2BCA284D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- comprovante de recolhimento do saldo remanescente de recursos, quando houver.</w:t>
            </w:r>
          </w:p>
          <w:p w14:paraId="0578CD3F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7.5 </w:t>
            </w:r>
            <w:r>
              <w:rPr>
                <w:sz w:val="24"/>
                <w:szCs w:val="24"/>
              </w:rPr>
              <w:t>O Ente Público considerará que houve inadequação na execução do objeto quando configurada uma das seguintes hipóteses:</w:t>
            </w:r>
          </w:p>
          <w:p w14:paraId="06669101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- </w:t>
            </w:r>
            <w:proofErr w:type="gramStart"/>
            <w:r>
              <w:rPr>
                <w:sz w:val="24"/>
                <w:szCs w:val="24"/>
              </w:rPr>
              <w:t>quando</w:t>
            </w:r>
            <w:proofErr w:type="gramEnd"/>
            <w:r>
              <w:rPr>
                <w:sz w:val="24"/>
                <w:szCs w:val="24"/>
              </w:rPr>
              <w:t xml:space="preserve"> for identificado o descumprimento injustificado do alcance das metas; ou</w:t>
            </w:r>
          </w:p>
          <w:p w14:paraId="27D57FCC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- </w:t>
            </w:r>
            <w:proofErr w:type="gramStart"/>
            <w:r>
              <w:rPr>
                <w:sz w:val="24"/>
                <w:szCs w:val="24"/>
              </w:rPr>
              <w:t>quando</w:t>
            </w:r>
            <w:proofErr w:type="gramEnd"/>
            <w:r>
              <w:rPr>
                <w:sz w:val="24"/>
                <w:szCs w:val="24"/>
              </w:rPr>
              <w:t xml:space="preserve"> for aceita denúncia de irregularidade, mediante juízo de admissibilidade realizado pelo Ente Público.</w:t>
            </w:r>
          </w:p>
        </w:tc>
      </w:tr>
    </w:tbl>
    <w:p w14:paraId="109644F7" w14:textId="77777777" w:rsidR="00A96D09" w:rsidRDefault="00A96D09">
      <w:pPr>
        <w:ind w:left="0" w:hanging="2"/>
      </w:pPr>
    </w:p>
    <w:tbl>
      <w:tblPr>
        <w:tblStyle w:val="afff3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A96D09" w14:paraId="0E38D08B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E062BD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8. </w:t>
            </w:r>
            <w:r>
              <w:rPr>
                <w:b/>
                <w:color w:val="000000"/>
                <w:sz w:val="24"/>
                <w:szCs w:val="24"/>
              </w:rPr>
              <w:t>DOS BENS REMANESCENTES</w:t>
            </w:r>
          </w:p>
        </w:tc>
      </w:tr>
      <w:tr w:rsidR="00A96D09" w14:paraId="00306D60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A51CEB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8.1 </w:t>
            </w:r>
            <w:r>
              <w:rPr>
                <w:sz w:val="24"/>
                <w:szCs w:val="24"/>
              </w:rPr>
              <w:t>Os bens patrimoniais adquiridos, produzidos, transformados ou construídos com recursos deste TCC são da titularidade da Entidade Cultural celebrante e ficarão afetados ao objeto do presente TCC durante o prazo de sua duração, sendo considerados bens remanescentes ao seu término, dispensada a celebração de instrumento específico para esta finalidade.</w:t>
            </w:r>
          </w:p>
          <w:p w14:paraId="3D533498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8.2 </w:t>
            </w:r>
            <w:r>
              <w:rPr>
                <w:sz w:val="24"/>
                <w:szCs w:val="24"/>
              </w:rPr>
              <w:t>Quando da extinção da parceria, os bens remanescentes permanecerão na propriedade da Entidade Cultural, na medida em que os bens sejam úteis à continuidade da execução de ações de interesse social pela organização.</w:t>
            </w:r>
          </w:p>
          <w:p w14:paraId="3C158129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 </w:t>
            </w:r>
            <w:r>
              <w:rPr>
                <w:sz w:val="24"/>
                <w:szCs w:val="24"/>
              </w:rPr>
              <w:t>Caso a prestação de contas final seja rejeitada, a titularidade dos bens remanescentes permanecerá com a Entidade Cultural, observados os seguintes procedimentos:</w:t>
            </w:r>
          </w:p>
          <w:p w14:paraId="2008E8D9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</w:t>
            </w:r>
            <w:proofErr w:type="gramStart"/>
            <w:r>
              <w:rPr>
                <w:sz w:val="24"/>
                <w:szCs w:val="24"/>
              </w:rPr>
              <w:t>-  não</w:t>
            </w:r>
            <w:proofErr w:type="gramEnd"/>
            <w:r>
              <w:rPr>
                <w:sz w:val="24"/>
                <w:szCs w:val="24"/>
              </w:rPr>
              <w:t xml:space="preserve"> será exigido ressarcimento do valor relativo ao bem adquirido quando a motivação da rejeição não estiver relacionada ao seu uso ou aquisição; ou</w:t>
            </w:r>
          </w:p>
          <w:p w14:paraId="10D99657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- </w:t>
            </w:r>
            <w:proofErr w:type="gramStart"/>
            <w:r>
              <w:rPr>
                <w:sz w:val="24"/>
                <w:szCs w:val="24"/>
              </w:rPr>
              <w:t>o</w:t>
            </w:r>
            <w:proofErr w:type="gramEnd"/>
            <w:r>
              <w:rPr>
                <w:sz w:val="24"/>
                <w:szCs w:val="24"/>
              </w:rPr>
              <w:t xml:space="preserve"> valor pelo qual o bem remanescente foi adquirido deverá ser computado no cálculo do dano ao erário a ser ressarcido, quando a motivação da rejeição estiver relacionada ao seu uso ou aquisição. </w:t>
            </w:r>
          </w:p>
          <w:p w14:paraId="0669425A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8.4 </w:t>
            </w:r>
            <w:r>
              <w:rPr>
                <w:sz w:val="24"/>
                <w:szCs w:val="24"/>
              </w:rPr>
              <w:t xml:space="preserve">Na hipótese de dissolução da Entidade Cultural durante a vigência </w:t>
            </w:r>
            <w:r>
              <w:rPr>
                <w:sz w:val="24"/>
                <w:szCs w:val="24"/>
              </w:rPr>
              <w:t>do TCC</w:t>
            </w:r>
            <w:r>
              <w:rPr>
                <w:sz w:val="24"/>
                <w:szCs w:val="24"/>
              </w:rPr>
              <w:t>, o valor pelo qual os bens remanescentes foram adquiridos deverá ser computado no cálculo do valor a ser ressarcido.</w:t>
            </w:r>
          </w:p>
          <w:p w14:paraId="0F2339C2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8.5 </w:t>
            </w:r>
            <w:r>
              <w:rPr>
                <w:sz w:val="24"/>
                <w:szCs w:val="24"/>
              </w:rPr>
              <w:t>A Entidade Cultural poderá realizar doação dos bens remanescentes a terceiros, inclusive beneficiários da política pública objeto da parceria, desde que demonstrada sua utilidade para realização ou continuidade de ações de interesse social.</w:t>
            </w:r>
          </w:p>
          <w:p w14:paraId="556B90C1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8.6</w:t>
            </w:r>
            <w:r>
              <w:rPr>
                <w:sz w:val="24"/>
                <w:szCs w:val="24"/>
              </w:rPr>
              <w:t xml:space="preserve"> Os bens remanescentes poderão ter sua propriedade revertida para o Ente Público, a critério deste, se ao término da parceria ficar constatado que a Entidade Cultural não terá condições de dar continuidade à execução de ações de interesse social e a transferência da propriedade for necessária para assegurar a continuidade do objeto pactuado, seja por meio da celebração de nova parceria, seja pela execução direta do objeto pela Administração Pública Federal.</w:t>
            </w:r>
          </w:p>
          <w:p w14:paraId="1A9D2EAE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8.7 </w:t>
            </w:r>
            <w:r>
              <w:rPr>
                <w:sz w:val="24"/>
                <w:szCs w:val="24"/>
              </w:rPr>
              <w:t>A destinação dos bens remanescentes poderá ser alterada por meio da celebração de Termo Aditivo</w:t>
            </w:r>
            <w:r>
              <w:rPr>
                <w:sz w:val="24"/>
                <w:szCs w:val="24"/>
              </w:rPr>
              <w:t xml:space="preserve"> ao TCC</w:t>
            </w:r>
            <w:r>
              <w:rPr>
                <w:sz w:val="24"/>
                <w:szCs w:val="24"/>
              </w:rPr>
              <w:t>, após solicitação fundamentada de uma das partes.</w:t>
            </w:r>
          </w:p>
          <w:p w14:paraId="1B1498A3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8.8 </w:t>
            </w:r>
            <w:r>
              <w:rPr>
                <w:sz w:val="24"/>
                <w:szCs w:val="24"/>
              </w:rPr>
              <w:t>No caso de término da execução do TCC antes da manifestação sobre eventual solicitação de uma das partes de alteração da destinação dos bens remanescentes, a custódia dos bens permanecerá sob a responsabilidade da Entidade Cultural até a decisão do pedido.</w:t>
            </w:r>
          </w:p>
        </w:tc>
      </w:tr>
    </w:tbl>
    <w:p w14:paraId="5CE0AC47" w14:textId="77777777" w:rsidR="00A96D09" w:rsidRDefault="00A96D09">
      <w:pPr>
        <w:ind w:left="0" w:hanging="2"/>
      </w:pPr>
    </w:p>
    <w:tbl>
      <w:tblPr>
        <w:tblStyle w:val="afff4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A96D09" w14:paraId="1092C569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3E06AC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9. </w:t>
            </w:r>
            <w:r>
              <w:rPr>
                <w:b/>
                <w:color w:val="000000"/>
                <w:sz w:val="24"/>
                <w:szCs w:val="24"/>
              </w:rPr>
              <w:t>DA PROPRIEDADE INTELECTUAL</w:t>
            </w:r>
          </w:p>
        </w:tc>
      </w:tr>
      <w:tr w:rsidR="00A96D09" w14:paraId="201C5427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AC0736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9.1 </w:t>
            </w:r>
            <w:r>
              <w:rPr>
                <w:sz w:val="24"/>
                <w:szCs w:val="24"/>
              </w:rPr>
              <w:t>Caso as atividades realizadas pela ENTIDADE CULTURAL com recursos públicos provenientes do Termo de C</w:t>
            </w:r>
            <w:r>
              <w:rPr>
                <w:sz w:val="24"/>
                <w:szCs w:val="24"/>
              </w:rPr>
              <w:t>ompromisso Cultural</w:t>
            </w:r>
            <w:r>
              <w:rPr>
                <w:sz w:val="24"/>
                <w:szCs w:val="24"/>
              </w:rPr>
              <w:t xml:space="preserve"> deem origem a bens passíveis de proteção pelo direito de propriedade intelectual, a exemplo de invenções, modelos de utilidade, desenhos industriais, obras intelectuais, cultivares, direitos autorais, programas de computador e outros tipos de criação, a ENTIDADE CULTURAL terá a titularidade da propriedade intelectual e a participação nos ganhos econômicos resultantes da exploração dos respectivos bens, os quais ficarão gravados com cláusula de inalienabilidade durante a vigência d</w:t>
            </w:r>
            <w:r>
              <w:rPr>
                <w:sz w:val="24"/>
                <w:szCs w:val="24"/>
              </w:rPr>
              <w:t>o Termo de Compromisso Cul</w:t>
            </w:r>
            <w:r>
              <w:rPr>
                <w:sz w:val="24"/>
                <w:szCs w:val="24"/>
              </w:rPr>
              <w:t>tural.</w:t>
            </w:r>
          </w:p>
          <w:p w14:paraId="079D9A0F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9.2 - A ORGANIZAÇÃO DA SOCIEDADE CIVIL declara, mediante a assinatura deste instrumento, que se responsabiliza integralmente por providenciar desde já, independente de solicitação da ADMINISTRAÇÃO PÚBLICA, todas as autorizações necessárias para que a ADMINISTRAÇÃO PÚBLICA, sem ônus, durante o prazo de proteção dos direitos incidentes, em território nacional e estrangeiro, em caráter não exclusivo, utilize para fins de divulgação da Política Nacional de Cultura Viva, os bens submetidos a regime de propriedad</w:t>
            </w:r>
            <w:r>
              <w:rPr>
                <w:sz w:val="24"/>
                <w:szCs w:val="24"/>
              </w:rPr>
              <w:t>e intelectual que eventualmente decorrerem da execução deste TCC, da seguinte forma:</w:t>
            </w:r>
          </w:p>
          <w:p w14:paraId="442BD318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9.2.1 - Quanto aos direitos de que trata a Lei Nacional nº 9.279/1996, pelo uso de produto objeto de patente, processo ou produto obtido diretamente por processo patenteado, desenho industrial, indicação geográfica e marcas;</w:t>
            </w:r>
          </w:p>
          <w:p w14:paraId="604E088C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9.2.2 - Quanto aos direitos de que trata a Lei Nacional nº 9.610/1998, pelas seguintes modalidades:</w:t>
            </w:r>
          </w:p>
          <w:p w14:paraId="2CAAD1FB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- </w:t>
            </w:r>
            <w:proofErr w:type="gramStart"/>
            <w:r>
              <w:rPr>
                <w:sz w:val="24"/>
                <w:szCs w:val="24"/>
              </w:rPr>
              <w:t>a</w:t>
            </w:r>
            <w:proofErr w:type="gramEnd"/>
            <w:r>
              <w:rPr>
                <w:sz w:val="24"/>
                <w:szCs w:val="24"/>
              </w:rPr>
              <w:t xml:space="preserve"> reprodução parcial ou integral, para fins de divulgação;</w:t>
            </w:r>
          </w:p>
          <w:p w14:paraId="30464BF9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II - </w:t>
            </w:r>
            <w:proofErr w:type="gramStart"/>
            <w:r>
              <w:rPr>
                <w:sz w:val="24"/>
                <w:szCs w:val="24"/>
              </w:rPr>
              <w:t>a</w:t>
            </w:r>
            <w:proofErr w:type="gramEnd"/>
            <w:r>
              <w:rPr>
                <w:sz w:val="24"/>
                <w:szCs w:val="24"/>
              </w:rPr>
              <w:t xml:space="preserve"> tradução para qualquer idioma;</w:t>
            </w:r>
          </w:p>
          <w:p w14:paraId="13DD555E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- a inclusão em fonograma ou produção audiovisual;</w:t>
            </w:r>
          </w:p>
          <w:p w14:paraId="2D20BCAF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IV - </w:t>
            </w:r>
            <w:proofErr w:type="gramStart"/>
            <w:r>
              <w:rPr>
                <w:sz w:val="24"/>
                <w:szCs w:val="24"/>
              </w:rPr>
              <w:t>a</w:t>
            </w:r>
            <w:proofErr w:type="gramEnd"/>
            <w:r>
              <w:rPr>
                <w:sz w:val="24"/>
                <w:szCs w:val="24"/>
              </w:rPr>
              <w:t xml:space="preserve"> inclusão em base de dados, o armazenamento em computador, a microfilmagem e as demais formas de arquivamento do gênero.</w:t>
            </w:r>
          </w:p>
          <w:p w14:paraId="5BF34EA1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</w:t>
            </w:r>
            <w:r>
              <w:rPr>
                <w:sz w:val="24"/>
                <w:szCs w:val="24"/>
              </w:rPr>
              <w:t xml:space="preserve"> Quando da extinção d</w:t>
            </w:r>
            <w:r>
              <w:rPr>
                <w:sz w:val="24"/>
                <w:szCs w:val="24"/>
              </w:rPr>
              <w:t>o TCC</w:t>
            </w:r>
            <w:r>
              <w:rPr>
                <w:sz w:val="24"/>
                <w:szCs w:val="24"/>
              </w:rPr>
              <w:t>, os bens remanescentes passíveis de proteção pelo direito de propriedade intelectual poderão ter sua propriedade revertida para o órgão ou entidade pública federal, a critério da Administração Pública, quando a ENTIDADE CULTURAL não tiver condições de dar continuidade à execução de ações de interesse social e a transferência da propriedade for necessária para assegurar a continuidade do objeto pactuado, seja por meio da celebração de nova parceria, seja pela execução direta do obj</w:t>
            </w:r>
            <w:r>
              <w:rPr>
                <w:sz w:val="24"/>
                <w:szCs w:val="24"/>
              </w:rPr>
              <w:t>eto pela Administração Pública.</w:t>
            </w:r>
          </w:p>
        </w:tc>
      </w:tr>
    </w:tbl>
    <w:p w14:paraId="79D51197" w14:textId="77777777" w:rsidR="00A96D09" w:rsidRDefault="00A96D09">
      <w:pPr>
        <w:ind w:left="0" w:hanging="2"/>
      </w:pPr>
    </w:p>
    <w:tbl>
      <w:tblPr>
        <w:tblStyle w:val="afff5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A96D09" w14:paraId="62EC6794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10BB3F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10. </w:t>
            </w:r>
            <w:r>
              <w:rPr>
                <w:b/>
                <w:color w:val="000000"/>
                <w:sz w:val="24"/>
                <w:szCs w:val="24"/>
              </w:rPr>
              <w:t>DO PRAZO DE VIGÊNCIA</w:t>
            </w:r>
          </w:p>
        </w:tc>
      </w:tr>
      <w:tr w:rsidR="00A96D09" w14:paraId="4E787394" w14:textId="77777777">
        <w:trPr>
          <w:trHeight w:val="984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4E972C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10.1 </w:t>
            </w:r>
            <w:r>
              <w:rPr>
                <w:sz w:val="24"/>
                <w:szCs w:val="24"/>
              </w:rPr>
              <w:t xml:space="preserve">O prazo de vigência deste TCC será </w:t>
            </w:r>
            <w:r>
              <w:rPr>
                <w:sz w:val="24"/>
                <w:szCs w:val="24"/>
              </w:rPr>
              <w:t>de</w:t>
            </w:r>
            <w:r>
              <w:rPr>
                <w:color w:val="FF0000"/>
                <w:sz w:val="24"/>
                <w:szCs w:val="24"/>
              </w:rPr>
              <w:t xml:space="preserve"> 12 meses, 24 meses ou 36 meses, a depender da definição do órgão gestor</w:t>
            </w:r>
            <w:r>
              <w:rPr>
                <w:sz w:val="24"/>
                <w:szCs w:val="24"/>
              </w:rPr>
              <w:t xml:space="preserve">, contados a partir da data de sua assinatura, podendo ser prorrogado </w:t>
            </w:r>
            <w:r>
              <w:rPr>
                <w:color w:val="FF0000"/>
                <w:sz w:val="24"/>
                <w:szCs w:val="24"/>
              </w:rPr>
              <w:t>pelo dobro do tempo pactuado</w:t>
            </w:r>
            <w:r>
              <w:rPr>
                <w:sz w:val="24"/>
                <w:szCs w:val="24"/>
              </w:rPr>
              <w:t>, mediante acordo entre as partes, excetuadas as prorrogações de ofício por atraso na liberação dos recursos.</w:t>
            </w:r>
          </w:p>
          <w:p w14:paraId="3C0A36DF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10.2 </w:t>
            </w:r>
            <w:r>
              <w:rPr>
                <w:sz w:val="24"/>
                <w:szCs w:val="24"/>
              </w:rPr>
              <w:t>A vigência d</w:t>
            </w:r>
            <w:r>
              <w:rPr>
                <w:sz w:val="24"/>
                <w:szCs w:val="24"/>
              </w:rPr>
              <w:t>o TCC</w:t>
            </w:r>
            <w:r>
              <w:rPr>
                <w:sz w:val="24"/>
                <w:szCs w:val="24"/>
              </w:rPr>
              <w:t xml:space="preserve"> poderá ser alterada mediante solicitação da entidade cultural, a ser apresentada à administração pública em, no mínimo, trinta dias antes do término de sua vigência.</w:t>
            </w:r>
          </w:p>
          <w:p w14:paraId="6EE7D237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10.3 </w:t>
            </w:r>
            <w:r>
              <w:rPr>
                <w:sz w:val="24"/>
                <w:szCs w:val="24"/>
              </w:rPr>
              <w:t>A prorrogação de ofício da vigência do instrumento deve ser feita pela administração pública, antes do seu término, quando ela der causa a atraso na liberação dos recursos, limitada ao exato período do atraso verificado.</w:t>
            </w:r>
          </w:p>
        </w:tc>
      </w:tr>
    </w:tbl>
    <w:p w14:paraId="7DF6C84F" w14:textId="77777777" w:rsidR="00A96D09" w:rsidRDefault="00A96D09">
      <w:pPr>
        <w:ind w:left="0" w:hanging="2"/>
      </w:pPr>
    </w:p>
    <w:tbl>
      <w:tblPr>
        <w:tblStyle w:val="afff6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A96D09" w14:paraId="70AF74E8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6F6CD7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11. </w:t>
            </w:r>
            <w:r>
              <w:rPr>
                <w:b/>
                <w:color w:val="000000"/>
                <w:sz w:val="24"/>
                <w:szCs w:val="24"/>
              </w:rPr>
              <w:t>DA RESCISÃO</w:t>
            </w:r>
          </w:p>
        </w:tc>
      </w:tr>
      <w:tr w:rsidR="00A96D09" w14:paraId="7305E4F6" w14:textId="77777777">
        <w:trPr>
          <w:trHeight w:val="2265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24CB6A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11.1 </w:t>
            </w:r>
            <w:r>
              <w:rPr>
                <w:sz w:val="24"/>
                <w:szCs w:val="24"/>
              </w:rPr>
              <w:t xml:space="preserve">É facultado ao Ente Público e </w:t>
            </w:r>
            <w:r>
              <w:rPr>
                <w:sz w:val="24"/>
                <w:szCs w:val="24"/>
              </w:rPr>
              <w:t>à entidade cultural</w:t>
            </w:r>
            <w:r>
              <w:rPr>
                <w:sz w:val="24"/>
                <w:szCs w:val="24"/>
              </w:rPr>
              <w:t xml:space="preserve"> rescindirem este TCC, a qualquer tempo, com as respectivas condições, sanções e delimitações claras de responsabilidades, além da estipulação de prazo mínimo de antecedência para a publicidade dessa intenção, que não poderá ser inferior a 60 (sessenta) dias.</w:t>
            </w:r>
          </w:p>
          <w:p w14:paraId="1C9C60F9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11.2</w:t>
            </w:r>
            <w:r>
              <w:rPr>
                <w:sz w:val="24"/>
                <w:szCs w:val="24"/>
              </w:rPr>
              <w:t xml:space="preserve"> O Ente Público deverá rescindir este TCC caso seja cancelada a certificação simplificada do </w:t>
            </w:r>
            <w:r>
              <w:rPr>
                <w:sz w:val="24"/>
                <w:szCs w:val="24"/>
                <w:shd w:val="clear" w:color="auto" w:fill="6FA8DC"/>
              </w:rPr>
              <w:t>Pont</w:t>
            </w:r>
            <w:r>
              <w:rPr>
                <w:sz w:val="24"/>
                <w:szCs w:val="24"/>
                <w:shd w:val="clear" w:color="auto" w:fill="6FA8DC"/>
              </w:rPr>
              <w:t>o</w:t>
            </w:r>
            <w:r>
              <w:rPr>
                <w:sz w:val="24"/>
                <w:szCs w:val="24"/>
              </w:rPr>
              <w:t>, respeitados os atos jurídicos perfeitos, na forma do art. 11 da Instrução Normativa/MinC nº 8/2016.</w:t>
            </w:r>
          </w:p>
          <w:p w14:paraId="36410487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11.3 </w:t>
            </w:r>
            <w:r>
              <w:rPr>
                <w:sz w:val="24"/>
                <w:szCs w:val="24"/>
              </w:rPr>
              <w:t>A Entidade Cultural deverá devolver ao Ente Público os saldos financeiros remanescentes, inclusive os provenientes das receitas obtidas das aplicações financeiras realizadas, no prazo de trinta dias após a conclusão, rescisão ou extinção da parceria, sob pena de adoção de medidas cabíveis para ressarcimento ao erário.</w:t>
            </w:r>
          </w:p>
          <w:p w14:paraId="7757813C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</w:t>
            </w:r>
            <w:r>
              <w:rPr>
                <w:sz w:val="24"/>
                <w:szCs w:val="24"/>
              </w:rPr>
              <w:t xml:space="preserve"> Havendo rescisão, </w:t>
            </w:r>
            <w:r>
              <w:rPr>
                <w:sz w:val="24"/>
                <w:szCs w:val="24"/>
              </w:rPr>
              <w:t>a entidade cultural</w:t>
            </w:r>
            <w:r>
              <w:rPr>
                <w:sz w:val="24"/>
                <w:szCs w:val="24"/>
              </w:rPr>
              <w:t xml:space="preserve"> fica </w:t>
            </w:r>
            <w:r>
              <w:rPr>
                <w:sz w:val="24"/>
                <w:szCs w:val="24"/>
              </w:rPr>
              <w:t>obrigada</w:t>
            </w:r>
            <w:r>
              <w:rPr>
                <w:sz w:val="24"/>
                <w:szCs w:val="24"/>
              </w:rPr>
              <w:t xml:space="preserve"> a prestar contas de tudo que fora executado até a data da rescisão, observado o prazo e regras da Seção </w:t>
            </w:r>
            <w:r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</w:tr>
    </w:tbl>
    <w:p w14:paraId="442DAF79" w14:textId="77777777" w:rsidR="00A96D09" w:rsidRDefault="00A96D09">
      <w:pPr>
        <w:ind w:left="0" w:hanging="2"/>
      </w:pPr>
    </w:p>
    <w:tbl>
      <w:tblPr>
        <w:tblStyle w:val="afff7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A96D09" w14:paraId="600B0D70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B18369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12. </w:t>
            </w:r>
            <w:r>
              <w:rPr>
                <w:b/>
                <w:color w:val="000000"/>
                <w:sz w:val="24"/>
                <w:szCs w:val="24"/>
              </w:rPr>
              <w:t>DA PUBLICAÇÃO</w:t>
            </w:r>
          </w:p>
        </w:tc>
      </w:tr>
      <w:tr w:rsidR="00A96D09" w14:paraId="2108C6C4" w14:textId="77777777">
        <w:trPr>
          <w:trHeight w:val="851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0F67AB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 Ente Público publicará extrato deste TCC no meio oficial de publicidade da administração pública, após a assinatura, para que se inicie a produção de seus efeitos.</w:t>
            </w:r>
          </w:p>
        </w:tc>
      </w:tr>
    </w:tbl>
    <w:p w14:paraId="68BE1728" w14:textId="77777777" w:rsidR="00A96D09" w:rsidRDefault="00A96D09">
      <w:pPr>
        <w:ind w:left="0" w:hanging="2"/>
      </w:pPr>
    </w:p>
    <w:tbl>
      <w:tblPr>
        <w:tblStyle w:val="afff8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72"/>
      </w:tblGrid>
      <w:tr w:rsidR="00A96D09" w14:paraId="7BD9A2B0" w14:textId="77777777">
        <w:trPr>
          <w:trHeight w:val="525"/>
        </w:trPr>
        <w:tc>
          <w:tcPr>
            <w:tcW w:w="997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8B3E15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13. </w:t>
            </w:r>
            <w:r>
              <w:rPr>
                <w:b/>
                <w:color w:val="000000"/>
                <w:sz w:val="24"/>
                <w:szCs w:val="24"/>
              </w:rPr>
              <w:t>DO FORO</w:t>
            </w:r>
          </w:p>
        </w:tc>
      </w:tr>
      <w:tr w:rsidR="00A96D09" w14:paraId="16F54174" w14:textId="77777777">
        <w:trPr>
          <w:trHeight w:val="851"/>
        </w:trPr>
        <w:tc>
          <w:tcPr>
            <w:tcW w:w="9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432BD4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As partes</w:t>
            </w:r>
            <w:r>
              <w:rPr>
                <w:sz w:val="24"/>
                <w:szCs w:val="24"/>
              </w:rPr>
              <w:t xml:space="preserve"> comprometem-se a submeter eventuais controvérsias decorrentes do presente ajuste à prévia tentativa de solução administrativa. As controvérsias que não possam ser resolvidas administrativamente serão submetidas ao foro da Justiça </w:t>
            </w:r>
            <w:r>
              <w:rPr>
                <w:color w:val="FF0000"/>
                <w:sz w:val="24"/>
                <w:szCs w:val="24"/>
              </w:rPr>
              <w:t>[aqui inserir o foro]</w:t>
            </w:r>
          </w:p>
        </w:tc>
      </w:tr>
    </w:tbl>
    <w:p w14:paraId="59DCC606" w14:textId="77777777" w:rsidR="00A96D09" w:rsidRDefault="00A96D09">
      <w:pPr>
        <w:ind w:left="0" w:hanging="2"/>
      </w:pPr>
    </w:p>
    <w:tbl>
      <w:tblPr>
        <w:tblStyle w:val="afff9"/>
        <w:tblW w:w="997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12"/>
        <w:gridCol w:w="5160"/>
      </w:tblGrid>
      <w:tr w:rsidR="00A96D09" w14:paraId="3F1A929C" w14:textId="77777777">
        <w:trPr>
          <w:trHeight w:val="525"/>
        </w:trPr>
        <w:tc>
          <w:tcPr>
            <w:tcW w:w="997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A5A794" w14:textId="77777777" w:rsidR="00A96D09" w:rsidRDefault="003431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14. </w:t>
            </w:r>
            <w:r>
              <w:rPr>
                <w:b/>
                <w:color w:val="000000"/>
                <w:sz w:val="24"/>
                <w:szCs w:val="24"/>
              </w:rPr>
              <w:t>DATA E ASSINATURAS</w:t>
            </w:r>
          </w:p>
        </w:tc>
      </w:tr>
      <w:tr w:rsidR="00A96D09" w14:paraId="70D99842" w14:textId="77777777">
        <w:trPr>
          <w:trHeight w:val="851"/>
        </w:trPr>
        <w:tc>
          <w:tcPr>
            <w:tcW w:w="9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774D33" w14:textId="77777777" w:rsidR="00A96D09" w:rsidRDefault="0034314A">
            <w:pPr>
              <w:spacing w:before="120" w:after="12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E, por assim estarem plenamente de acordo, </w:t>
            </w:r>
            <w:r>
              <w:rPr>
                <w:sz w:val="24"/>
                <w:szCs w:val="24"/>
              </w:rPr>
              <w:t>as partes</w:t>
            </w:r>
            <w:r>
              <w:rPr>
                <w:sz w:val="24"/>
                <w:szCs w:val="24"/>
              </w:rPr>
              <w:t xml:space="preserve"> obrigam-se ao total cumprimento dos termos do presente instrumento</w:t>
            </w:r>
            <w:r>
              <w:rPr>
                <w:sz w:val="24"/>
                <w:szCs w:val="24"/>
              </w:rPr>
              <w:t>.</w:t>
            </w:r>
          </w:p>
        </w:tc>
      </w:tr>
      <w:tr w:rsidR="00A96D09" w14:paraId="71ACA6B8" w14:textId="77777777">
        <w:trPr>
          <w:trHeight w:val="851"/>
        </w:trPr>
        <w:tc>
          <w:tcPr>
            <w:tcW w:w="4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B30A32" w14:textId="77777777" w:rsidR="00A96D09" w:rsidRDefault="0034314A">
            <w:pPr>
              <w:spacing w:before="120"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>assinado eletronicamente</w:t>
            </w:r>
            <w:r>
              <w:rPr>
                <w:sz w:val="24"/>
                <w:szCs w:val="24"/>
              </w:rPr>
              <w:t>)</w:t>
            </w:r>
          </w:p>
          <w:p w14:paraId="7D9B017E" w14:textId="77777777" w:rsidR="00A96D09" w:rsidRDefault="0034314A">
            <w:pPr>
              <w:spacing w:before="120" w:after="120" w:line="240" w:lineRule="auto"/>
              <w:ind w:left="0" w:hanging="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NOME</w:t>
            </w:r>
          </w:p>
          <w:p w14:paraId="3E953D1A" w14:textId="77777777" w:rsidR="00A96D09" w:rsidRDefault="0034314A">
            <w:pPr>
              <w:spacing w:before="120"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CARGO</w:t>
            </w:r>
          </w:p>
          <w:p w14:paraId="7E55F1DF" w14:textId="77777777" w:rsidR="00A96D09" w:rsidRDefault="0034314A">
            <w:pPr>
              <w:spacing w:before="120"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Representante legal da entidade cultural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2CF9A3" w14:textId="77777777" w:rsidR="00A96D09" w:rsidRDefault="0034314A">
            <w:pPr>
              <w:spacing w:before="120"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(</w:t>
            </w:r>
            <w:r>
              <w:rPr>
                <w:i/>
                <w:sz w:val="24"/>
                <w:szCs w:val="24"/>
              </w:rPr>
              <w:t>assinado eletronicamente</w:t>
            </w:r>
            <w:r>
              <w:rPr>
                <w:sz w:val="24"/>
                <w:szCs w:val="24"/>
              </w:rPr>
              <w:t>)</w:t>
            </w:r>
          </w:p>
          <w:p w14:paraId="5271C558" w14:textId="77777777" w:rsidR="00A96D09" w:rsidRDefault="0034314A">
            <w:pPr>
              <w:spacing w:before="120"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Representante legal do órgão ou entidade pública</w:t>
            </w:r>
          </w:p>
        </w:tc>
      </w:tr>
    </w:tbl>
    <w:p w14:paraId="0784D450" w14:textId="77777777" w:rsidR="00A96D09" w:rsidRDefault="00A96D09">
      <w:pPr>
        <w:spacing w:before="120" w:after="120" w:line="240" w:lineRule="auto"/>
        <w:ind w:left="0" w:hanging="2"/>
        <w:jc w:val="both"/>
        <w:rPr>
          <w:sz w:val="24"/>
          <w:szCs w:val="24"/>
        </w:rPr>
      </w:pPr>
    </w:p>
    <w:sectPr w:rsidR="00A96D09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2240" w:h="15840"/>
      <w:pgMar w:top="1984" w:right="1133" w:bottom="1133" w:left="1133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8704D" w14:textId="77777777" w:rsidR="0034314A" w:rsidRDefault="0034314A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5BB714EA" w14:textId="77777777" w:rsidR="0034314A" w:rsidRDefault="0034314A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DD26A" w14:textId="77777777" w:rsidR="00A96D09" w:rsidRDefault="00A96D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72526" w14:textId="76AAE4FF" w:rsidR="00A96D09" w:rsidRDefault="00D0113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jc w:val="right"/>
      <w:rPr>
        <w:color w:val="000000"/>
        <w:sz w:val="16"/>
        <w:szCs w:val="16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35A9A4D4" wp14:editId="264EDC9D">
          <wp:simplePos x="0" y="0"/>
          <wp:positionH relativeFrom="margin">
            <wp:posOffset>2433320</wp:posOffset>
          </wp:positionH>
          <wp:positionV relativeFrom="paragraph">
            <wp:posOffset>3175</wp:posOffset>
          </wp:positionV>
          <wp:extent cx="760095" cy="856271"/>
          <wp:effectExtent l="0" t="0" r="1905" b="1270"/>
          <wp:wrapNone/>
          <wp:docPr id="72258311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2583111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856271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4314A">
      <w:rPr>
        <w:color w:val="000000"/>
        <w:sz w:val="16"/>
        <w:szCs w:val="16"/>
      </w:rPr>
      <w:t xml:space="preserve">Página </w:t>
    </w:r>
    <w:r w:rsidR="0034314A">
      <w:rPr>
        <w:b/>
        <w:color w:val="000000"/>
        <w:sz w:val="16"/>
        <w:szCs w:val="16"/>
      </w:rPr>
      <w:fldChar w:fldCharType="begin"/>
    </w:r>
    <w:r w:rsidR="0034314A">
      <w:rPr>
        <w:b/>
        <w:color w:val="000000"/>
        <w:sz w:val="16"/>
        <w:szCs w:val="16"/>
      </w:rPr>
      <w:instrText>PAGE</w:instrText>
    </w:r>
    <w:r w:rsidR="0034314A">
      <w:rPr>
        <w:b/>
        <w:color w:val="000000"/>
        <w:sz w:val="16"/>
        <w:szCs w:val="16"/>
      </w:rPr>
      <w:fldChar w:fldCharType="separate"/>
    </w:r>
    <w:r>
      <w:rPr>
        <w:b/>
        <w:noProof/>
        <w:color w:val="000000"/>
        <w:sz w:val="16"/>
        <w:szCs w:val="16"/>
      </w:rPr>
      <w:t>1</w:t>
    </w:r>
    <w:r w:rsidR="0034314A">
      <w:rPr>
        <w:b/>
        <w:color w:val="000000"/>
        <w:sz w:val="16"/>
        <w:szCs w:val="16"/>
      </w:rPr>
      <w:fldChar w:fldCharType="end"/>
    </w:r>
    <w:r w:rsidR="0034314A">
      <w:rPr>
        <w:color w:val="000000"/>
        <w:sz w:val="16"/>
        <w:szCs w:val="16"/>
      </w:rPr>
      <w:t xml:space="preserve"> de </w:t>
    </w:r>
    <w:r w:rsidR="0034314A">
      <w:rPr>
        <w:b/>
        <w:color w:val="000000"/>
        <w:sz w:val="16"/>
        <w:szCs w:val="16"/>
      </w:rPr>
      <w:fldChar w:fldCharType="begin"/>
    </w:r>
    <w:r w:rsidR="0034314A">
      <w:rPr>
        <w:b/>
        <w:color w:val="000000"/>
        <w:sz w:val="16"/>
        <w:szCs w:val="16"/>
      </w:rPr>
      <w:instrText>NUMPAGES</w:instrText>
    </w:r>
    <w:r w:rsidR="0034314A">
      <w:rPr>
        <w:b/>
        <w:color w:val="000000"/>
        <w:sz w:val="16"/>
        <w:szCs w:val="16"/>
      </w:rPr>
      <w:fldChar w:fldCharType="separate"/>
    </w:r>
    <w:r>
      <w:rPr>
        <w:b/>
        <w:noProof/>
        <w:color w:val="000000"/>
        <w:sz w:val="16"/>
        <w:szCs w:val="16"/>
      </w:rPr>
      <w:t>2</w:t>
    </w:r>
    <w:r w:rsidR="0034314A">
      <w:rPr>
        <w:b/>
        <w:color w:val="000000"/>
        <w:sz w:val="16"/>
        <w:szCs w:val="16"/>
      </w:rPr>
      <w:fldChar w:fldCharType="end"/>
    </w:r>
  </w:p>
  <w:p w14:paraId="4B1918AB" w14:textId="16633312" w:rsidR="00A96D09" w:rsidRDefault="00D01131">
    <w:pPr>
      <w:tabs>
        <w:tab w:val="center" w:pos="0"/>
      </w:tabs>
      <w:spacing w:after="0" w:line="240" w:lineRule="auto"/>
      <w:ind w:left="0" w:hanging="2"/>
      <w:jc w:val="both"/>
      <w:rPr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586AA7A1" wp14:editId="3037F5D9">
          <wp:simplePos x="0" y="0"/>
          <wp:positionH relativeFrom="column">
            <wp:posOffset>1147445</wp:posOffset>
          </wp:positionH>
          <wp:positionV relativeFrom="paragraph">
            <wp:posOffset>87922</wp:posOffset>
          </wp:positionV>
          <wp:extent cx="609600" cy="645536"/>
          <wp:effectExtent l="0" t="0" r="0" b="2540"/>
          <wp:wrapNone/>
          <wp:docPr id="66880592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8805923" name="Imagem 668805923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11529" cy="6475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4314A">
      <w:rPr>
        <w:noProof/>
      </w:rPr>
      <w:drawing>
        <wp:anchor distT="0" distB="0" distL="0" distR="0" simplePos="0" relativeHeight="251658240" behindDoc="1" locked="0" layoutInCell="1" hidden="0" allowOverlap="1" wp14:anchorId="397992DC" wp14:editId="60D3AD96">
          <wp:simplePos x="0" y="0"/>
          <wp:positionH relativeFrom="column">
            <wp:posOffset>4581525</wp:posOffset>
          </wp:positionH>
          <wp:positionV relativeFrom="paragraph">
            <wp:posOffset>23625</wp:posOffset>
          </wp:positionV>
          <wp:extent cx="882015" cy="739140"/>
          <wp:effectExtent l="0" t="0" r="0" b="0"/>
          <wp:wrapNone/>
          <wp:docPr id="6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3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4314A">
      <w:rPr>
        <w:noProof/>
      </w:rPr>
      <w:drawing>
        <wp:anchor distT="0" distB="0" distL="114300" distR="114300" simplePos="0" relativeHeight="251659264" behindDoc="0" locked="0" layoutInCell="1" hidden="0" allowOverlap="1" wp14:anchorId="132486C7" wp14:editId="7B534A3E">
          <wp:simplePos x="0" y="0"/>
          <wp:positionH relativeFrom="column">
            <wp:posOffset>-361949</wp:posOffset>
          </wp:positionH>
          <wp:positionV relativeFrom="paragraph">
            <wp:posOffset>80775</wp:posOffset>
          </wp:positionV>
          <wp:extent cx="1201567" cy="624078"/>
          <wp:effectExtent l="0" t="0" r="0" b="0"/>
          <wp:wrapNone/>
          <wp:docPr id="5" name="image5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567" cy="62407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4314A">
      <w:rPr>
        <w:noProof/>
      </w:rPr>
      <w:drawing>
        <wp:anchor distT="0" distB="0" distL="114300" distR="114300" simplePos="0" relativeHeight="251660288" behindDoc="0" locked="0" layoutInCell="1" hidden="0" allowOverlap="1" wp14:anchorId="45543771" wp14:editId="4ADFBAE6">
          <wp:simplePos x="0" y="0"/>
          <wp:positionH relativeFrom="column">
            <wp:posOffset>5610225</wp:posOffset>
          </wp:positionH>
          <wp:positionV relativeFrom="paragraph">
            <wp:posOffset>0</wp:posOffset>
          </wp:positionV>
          <wp:extent cx="1153265" cy="681903"/>
          <wp:effectExtent l="0" t="0" r="0" b="0"/>
          <wp:wrapNone/>
          <wp:docPr id="8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4314A">
      <w:rPr>
        <w:noProof/>
      </w:rPr>
      <w:drawing>
        <wp:anchor distT="0" distB="0" distL="114300" distR="114300" simplePos="0" relativeHeight="251661312" behindDoc="0" locked="0" layoutInCell="1" hidden="0" allowOverlap="1" wp14:anchorId="0411E306" wp14:editId="3D3F0C03">
          <wp:simplePos x="0" y="0"/>
          <wp:positionH relativeFrom="column">
            <wp:posOffset>3810000</wp:posOffset>
          </wp:positionH>
          <wp:positionV relativeFrom="paragraph">
            <wp:posOffset>142687</wp:posOffset>
          </wp:positionV>
          <wp:extent cx="723066" cy="509001"/>
          <wp:effectExtent l="0" t="0" r="0" b="0"/>
          <wp:wrapNone/>
          <wp:docPr id="7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CD4273F" w14:textId="62500FCD" w:rsidR="00A96D09" w:rsidRDefault="0034314A">
    <w:pPr>
      <w:spacing w:after="0" w:line="276" w:lineRule="auto"/>
      <w:ind w:left="0" w:hanging="2"/>
      <w:rPr>
        <w:rFonts w:ascii="Arial" w:eastAsia="Arial" w:hAnsi="Arial" w:cs="Arial"/>
      </w:rPr>
    </w:pPr>
    <w:r>
      <w:rPr>
        <w:rFonts w:ascii="Arial" w:eastAsia="Arial" w:hAnsi="Arial" w:cs="Arial"/>
      </w:rPr>
      <w:t xml:space="preserve">                                                                                                                                                             </w:t>
    </w:r>
  </w:p>
  <w:p w14:paraId="11F26E89" w14:textId="3384C707" w:rsidR="00A96D09" w:rsidRDefault="00D01131" w:rsidP="00D01131">
    <w:pPr>
      <w:pBdr>
        <w:top w:val="nil"/>
        <w:left w:val="nil"/>
        <w:bottom w:val="nil"/>
        <w:right w:val="nil"/>
        <w:between w:val="nil"/>
      </w:pBdr>
      <w:tabs>
        <w:tab w:val="left" w:pos="3795"/>
      </w:tabs>
      <w:spacing w:after="0" w:line="240" w:lineRule="auto"/>
      <w:ind w:left="0" w:hanging="2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37E20" w14:textId="77777777" w:rsidR="00A96D09" w:rsidRDefault="00A96D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86479" w14:textId="77777777" w:rsidR="0034314A" w:rsidRDefault="0034314A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73536797" w14:textId="77777777" w:rsidR="0034314A" w:rsidRDefault="0034314A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4AE30" w14:textId="77777777" w:rsidR="00A96D09" w:rsidRDefault="00A96D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B6CB4" w14:textId="77777777" w:rsidR="00A96D09" w:rsidRDefault="0034314A">
    <w:pPr>
      <w:spacing w:after="0" w:line="276" w:lineRule="auto"/>
      <w:ind w:left="0" w:hanging="2"/>
      <w:jc w:val="both"/>
      <w:rPr>
        <w:rFonts w:ascii="Arial" w:eastAsia="Arial" w:hAnsi="Arial" w:cs="Arial"/>
      </w:rPr>
    </w:pPr>
    <w:r>
      <w:rPr>
        <w:rFonts w:ascii="Arial" w:eastAsia="Arial" w:hAnsi="Arial" w:cs="Arial"/>
        <w:noProof/>
      </w:rPr>
      <w:drawing>
        <wp:inline distT="0" distB="0" distL="0" distR="0" wp14:anchorId="2647630C" wp14:editId="1BAF91D0">
          <wp:extent cx="1186751" cy="853881"/>
          <wp:effectExtent l="0" t="0" r="0" b="0"/>
          <wp:docPr id="10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95600B1" w14:textId="77777777" w:rsidR="00A96D09" w:rsidRDefault="00A96D09">
    <w:pPr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B986A" w14:textId="77777777" w:rsidR="00A96D09" w:rsidRDefault="00A96D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D09"/>
    <w:rsid w:val="00247CB1"/>
    <w:rsid w:val="0034314A"/>
    <w:rsid w:val="00A96D09"/>
    <w:rsid w:val="00D01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905721"/>
  <w15:docId w15:val="{9A37B28F-021F-4F8E-91D6-EB382C3EA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qFormat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xtodebaloChar">
    <w:name w:val="Texto de balão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paragraph" w:styleId="SemEspaamento">
    <w:name w:val="No Spacing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rPr>
      <w:sz w:val="20"/>
      <w:szCs w:val="20"/>
    </w:rPr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PargrafodaLista">
    <w:name w:val="List Paragraph"/>
    <w:basedOn w:val="Normal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pt-BR"/>
    </w:rPr>
  </w:style>
  <w:style w:type="paragraph" w:customStyle="1" w:styleId="western">
    <w:name w:val="western"/>
    <w:basedOn w:val="Normal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Reviso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4">
    <w:name w:val="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3">
    <w:name w:val="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421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42167"/>
    <w:rPr>
      <w:position w:val="-1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3421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42167"/>
    <w:rPr>
      <w:position w:val="-1"/>
      <w:lang w:eastAsia="en-US"/>
    </w:rPr>
  </w:style>
  <w:style w:type="table" w:customStyle="1" w:styleId="a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4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6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nalto.gov.br/ccivil_03/_ato2023-2026/2023/decreto/D11740.htm" TargetMode="External"/><Relationship Id="rId13" Type="http://schemas.openxmlformats.org/officeDocument/2006/relationships/hyperlink" Target="https://www.in.gov.br/web/dou/-/portaria-minc-n-80-de-27-de-outubro-de-2023-519652245" TargetMode="External"/><Relationship Id="rId18" Type="http://schemas.openxmlformats.org/officeDocument/2006/relationships/hyperlink" Target="https://www.in.gov.br/en/web/dou/-/instrucao-normativa-minc-n-12-de-28-de-maio-de-2024-562732255" TargetMode="External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hyperlink" Target="https://www.planalto.gov.br/ccivil_03/_ato2023-2026/2023/decreto/D11453.htm" TargetMode="External"/><Relationship Id="rId7" Type="http://schemas.openxmlformats.org/officeDocument/2006/relationships/hyperlink" Target="https://www.planalto.gov.br/ccivil_03/_ato2019-2022/2022/lei/l14399.htm" TargetMode="External"/><Relationship Id="rId12" Type="http://schemas.openxmlformats.org/officeDocument/2006/relationships/hyperlink" Target="https://www.in.gov.br/en/web/dou/-/portaria-minc-n-206-de-13-de-maio-de-2025-629208189" TargetMode="External"/><Relationship Id="rId17" Type="http://schemas.openxmlformats.org/officeDocument/2006/relationships/hyperlink" Target="https://www.gov.br/cultura/pt-br/acesso-a-informacao/legislacao-e-normativas/instrucao-normativa-minc-no-1-de-7-de-abril-de-2015-1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ww.gov.br/cultura/pt-br/acesso-a-informacao/legislacao-e-normativas/instrucao-normativa-minc-no-1-de-7-de-abril-de-2015-1" TargetMode="External"/><Relationship Id="rId20" Type="http://schemas.openxmlformats.org/officeDocument/2006/relationships/hyperlink" Target="https://www.planalto.gov.br/ccivil_03/_ato2023-2026/2023/decreto/D11453.ht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in.gov.br/web/dou/-/portaria-minc-n-80-de-27-de-outubro-de-2023-519652245" TargetMode="External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yperlink" Target="https://www.planalto.gov.br/ccivil_03/_ato2011-2014/2014/lei/l13018.htm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https://www.in.gov.br/web/dou/-/portaria-minc-n-200-de-11-de-abril-de-2025-623760804" TargetMode="External"/><Relationship Id="rId19" Type="http://schemas.openxmlformats.org/officeDocument/2006/relationships/hyperlink" Target="https://www.in.gov.br/en/web/dou/-/instrucao-normativa-minc-n-12-de-28-de-maio-de-2024-56273225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lanalto.gov.br/ccivil_03/_ato2023-2026/2023/decreto/D11740.htm" TargetMode="External"/><Relationship Id="rId14" Type="http://schemas.openxmlformats.org/officeDocument/2006/relationships/hyperlink" Target="https://www.planalto.gov.br/ccivil_03/_ato2011-2014/2014/lei/l13018.htm" TargetMode="External"/><Relationship Id="rId22" Type="http://schemas.openxmlformats.org/officeDocument/2006/relationships/hyperlink" Target="https://www.planalto.gov.br/ccivil_03/_ato2023-2026/2024/lei/L14903.htm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xpT4fQy/4BmMoBXGzE3aIdwrmw==">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3973</Words>
  <Characters>21455</Characters>
  <Application>Microsoft Office Word</Application>
  <DocSecurity>0</DocSecurity>
  <Lines>178</Lines>
  <Paragraphs>50</Paragraphs>
  <ScaleCrop>false</ScaleCrop>
  <Company/>
  <LinksUpToDate>false</LinksUpToDate>
  <CharactersWithSpaces>25378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Guimaraes Goulart</dc:creator>
  <cp:lastModifiedBy>SEC CULTURA</cp:lastModifiedBy>
  <cp:revision>2</cp:revision>
  <dcterms:created xsi:type="dcterms:W3CDTF">2022-08-11T14:23:00Z</dcterms:created>
  <dcterms:modified xsi:type="dcterms:W3CDTF">2026-06-08T15:00:00Z</dcterms:modified>
</cp:coreProperties>
</file>